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B3BC9" w14:textId="77777777" w:rsidR="00AF7C7A" w:rsidRDefault="00B70796">
      <w:pPr>
        <w:pStyle w:val="Title"/>
      </w:pPr>
      <w:r>
        <w:rPr>
          <w:spacing w:val="-2"/>
        </w:rPr>
        <w:t>ATTACHMENT</w:t>
      </w:r>
      <w:r>
        <w:rPr>
          <w:spacing w:val="-7"/>
        </w:rPr>
        <w:t xml:space="preserve"> </w:t>
      </w:r>
      <w:r>
        <w:rPr>
          <w:spacing w:val="-2"/>
        </w:rPr>
        <w:t>1:</w:t>
      </w:r>
      <w:r>
        <w:rPr>
          <w:spacing w:val="-9"/>
        </w:rPr>
        <w:t xml:space="preserve"> </w:t>
      </w:r>
      <w:r>
        <w:rPr>
          <w:spacing w:val="-2"/>
        </w:rPr>
        <w:t>REASONS</w:t>
      </w:r>
      <w:r>
        <w:rPr>
          <w:spacing w:val="-7"/>
        </w:rPr>
        <w:t xml:space="preserve"> </w:t>
      </w:r>
      <w:r>
        <w:rPr>
          <w:spacing w:val="-2"/>
        </w:rPr>
        <w:t>FOR</w:t>
      </w:r>
      <w:r>
        <w:rPr>
          <w:spacing w:val="-7"/>
        </w:rPr>
        <w:t xml:space="preserve"> </w:t>
      </w:r>
      <w:r>
        <w:rPr>
          <w:spacing w:val="-2"/>
        </w:rPr>
        <w:t>REFUSAL</w:t>
      </w:r>
    </w:p>
    <w:p w14:paraId="28CB3BCA" w14:textId="77777777" w:rsidR="00AF7C7A" w:rsidRDefault="00B70796">
      <w:pPr>
        <w:tabs>
          <w:tab w:val="left" w:pos="2980"/>
        </w:tabs>
        <w:spacing w:before="249" w:line="252" w:lineRule="exact"/>
        <w:ind w:left="100"/>
      </w:pPr>
      <w:r>
        <w:rPr>
          <w:b/>
          <w:spacing w:val="-4"/>
        </w:rPr>
        <w:t>PANEL</w:t>
      </w:r>
      <w:r>
        <w:rPr>
          <w:b/>
          <w:spacing w:val="-11"/>
        </w:rPr>
        <w:t xml:space="preserve"> </w:t>
      </w:r>
      <w:r>
        <w:rPr>
          <w:b/>
          <w:spacing w:val="-2"/>
        </w:rPr>
        <w:t>REFERENCE:</w:t>
      </w:r>
      <w:r>
        <w:rPr>
          <w:b/>
        </w:rPr>
        <w:tab/>
      </w:r>
      <w:r>
        <w:rPr>
          <w:spacing w:val="-5"/>
        </w:rPr>
        <w:t>PPSSNH-449</w:t>
      </w:r>
    </w:p>
    <w:p w14:paraId="28CB3BCB" w14:textId="77777777" w:rsidR="00AF7C7A" w:rsidRDefault="00B70796">
      <w:pPr>
        <w:tabs>
          <w:tab w:val="left" w:pos="2980"/>
        </w:tabs>
        <w:spacing w:line="252" w:lineRule="exact"/>
        <w:ind w:left="100"/>
      </w:pPr>
      <w:r>
        <w:rPr>
          <w:b/>
        </w:rPr>
        <w:t>DA</w:t>
      </w:r>
      <w:r>
        <w:rPr>
          <w:b/>
          <w:spacing w:val="-9"/>
        </w:rPr>
        <w:t xml:space="preserve"> </w:t>
      </w:r>
      <w:r>
        <w:rPr>
          <w:b/>
          <w:spacing w:val="-2"/>
        </w:rPr>
        <w:t>NUMBER:</w:t>
      </w:r>
      <w:r>
        <w:rPr>
          <w:b/>
        </w:rPr>
        <w:tab/>
      </w:r>
      <w:r>
        <w:rPr>
          <w:spacing w:val="-2"/>
        </w:rPr>
        <w:t>DA297/23</w:t>
      </w:r>
    </w:p>
    <w:p w14:paraId="28CB3BCC" w14:textId="77777777" w:rsidR="00AF7C7A" w:rsidRDefault="00B70796">
      <w:pPr>
        <w:pStyle w:val="BodyText"/>
        <w:tabs>
          <w:tab w:val="left" w:pos="2980"/>
        </w:tabs>
        <w:spacing w:before="1" w:line="252" w:lineRule="exact"/>
        <w:ind w:left="100"/>
      </w:pPr>
      <w:r>
        <w:rPr>
          <w:b/>
          <w:spacing w:val="-4"/>
        </w:rPr>
        <w:t>LGA:</w:t>
      </w:r>
      <w:r>
        <w:rPr>
          <w:b/>
        </w:rPr>
        <w:tab/>
      </w:r>
      <w:r>
        <w:t>North</w:t>
      </w:r>
      <w:r>
        <w:rPr>
          <w:spacing w:val="-7"/>
        </w:rPr>
        <w:t xml:space="preserve"> </w:t>
      </w:r>
      <w:r>
        <w:t>Sydney</w:t>
      </w:r>
      <w:r>
        <w:rPr>
          <w:spacing w:val="-6"/>
        </w:rPr>
        <w:t xml:space="preserve"> </w:t>
      </w:r>
      <w:r>
        <w:rPr>
          <w:spacing w:val="-2"/>
        </w:rPr>
        <w:t>Council</w:t>
      </w:r>
    </w:p>
    <w:p w14:paraId="28CB3BCD" w14:textId="77777777" w:rsidR="00AF7C7A" w:rsidRDefault="00B70796">
      <w:pPr>
        <w:pStyle w:val="BodyText"/>
        <w:tabs>
          <w:tab w:val="left" w:pos="2980"/>
        </w:tabs>
        <w:spacing w:line="252" w:lineRule="exact"/>
        <w:ind w:left="100"/>
      </w:pPr>
      <w:r>
        <w:rPr>
          <w:b/>
          <w:spacing w:val="-2"/>
        </w:rPr>
        <w:t>ADDRESS:</w:t>
      </w:r>
      <w:r>
        <w:rPr>
          <w:b/>
        </w:rPr>
        <w:tab/>
      </w:r>
      <w:r>
        <w:t>617-621</w:t>
      </w:r>
      <w:r>
        <w:rPr>
          <w:spacing w:val="-6"/>
        </w:rPr>
        <w:t xml:space="preserve"> </w:t>
      </w:r>
      <w:r>
        <w:t>Pacific</w:t>
      </w:r>
      <w:r>
        <w:rPr>
          <w:spacing w:val="-6"/>
        </w:rPr>
        <w:t xml:space="preserve"> </w:t>
      </w:r>
      <w:r>
        <w:t>Highway,</w:t>
      </w:r>
      <w:r>
        <w:rPr>
          <w:spacing w:val="-5"/>
        </w:rPr>
        <w:t xml:space="preserve"> </w:t>
      </w:r>
      <w:r>
        <w:t>St</w:t>
      </w:r>
      <w:r>
        <w:rPr>
          <w:spacing w:val="-5"/>
        </w:rPr>
        <w:t xml:space="preserve"> </w:t>
      </w:r>
      <w:r>
        <w:rPr>
          <w:spacing w:val="-2"/>
        </w:rPr>
        <w:t>Leonards</w:t>
      </w:r>
    </w:p>
    <w:p w14:paraId="28CB3BCE" w14:textId="77777777" w:rsidR="00AF7C7A" w:rsidRDefault="00AF7C7A">
      <w:pPr>
        <w:pStyle w:val="BodyText"/>
        <w:spacing w:before="5"/>
      </w:pPr>
    </w:p>
    <w:p w14:paraId="28CB3BCF" w14:textId="77777777" w:rsidR="00AF7C7A" w:rsidRDefault="00B70796">
      <w:pPr>
        <w:pStyle w:val="ListParagraph"/>
        <w:numPr>
          <w:ilvl w:val="0"/>
          <w:numId w:val="1"/>
        </w:numPr>
        <w:tabs>
          <w:tab w:val="left" w:pos="456"/>
          <w:tab w:val="left" w:pos="460"/>
        </w:tabs>
        <w:ind w:right="132" w:hanging="360"/>
        <w:jc w:val="both"/>
      </w:pPr>
      <w:r>
        <w:t>The proposed development is considered unacceptable pursuant to the provisions of s4.15(1)(a)(i)</w:t>
      </w:r>
      <w:r>
        <w:rPr>
          <w:spacing w:val="-3"/>
        </w:rPr>
        <w:t xml:space="preserve"> </w:t>
      </w:r>
      <w:r>
        <w:t>of</w:t>
      </w:r>
      <w:r>
        <w:rPr>
          <w:spacing w:val="-2"/>
        </w:rPr>
        <w:t xml:space="preserve"> </w:t>
      </w:r>
      <w:r>
        <w:t>the</w:t>
      </w:r>
      <w:r>
        <w:rPr>
          <w:spacing w:val="-4"/>
        </w:rPr>
        <w:t xml:space="preserve"> </w:t>
      </w:r>
      <w:r>
        <w:t>Environmental</w:t>
      </w:r>
      <w:r>
        <w:rPr>
          <w:spacing w:val="-2"/>
        </w:rPr>
        <w:t xml:space="preserve"> </w:t>
      </w:r>
      <w:r>
        <w:t>Planning and</w:t>
      </w:r>
      <w:r>
        <w:rPr>
          <w:spacing w:val="-16"/>
        </w:rPr>
        <w:t xml:space="preserve"> </w:t>
      </w:r>
      <w:r>
        <w:t>Assessment</w:t>
      </w:r>
      <w:r>
        <w:rPr>
          <w:spacing w:val="-11"/>
        </w:rPr>
        <w:t xml:space="preserve"> </w:t>
      </w:r>
      <w:r>
        <w:t>Act</w:t>
      </w:r>
      <w:r>
        <w:rPr>
          <w:spacing w:val="-1"/>
        </w:rPr>
        <w:t xml:space="preserve"> </w:t>
      </w:r>
      <w:r>
        <w:t>1979</w:t>
      </w:r>
      <w:r>
        <w:rPr>
          <w:spacing w:val="-2"/>
        </w:rPr>
        <w:t xml:space="preserve"> </w:t>
      </w:r>
      <w:r>
        <w:t>as</w:t>
      </w:r>
      <w:r>
        <w:rPr>
          <w:spacing w:val="-4"/>
        </w:rPr>
        <w:t xml:space="preserve"> </w:t>
      </w:r>
      <w:r>
        <w:t>the</w:t>
      </w:r>
      <w:r>
        <w:rPr>
          <w:spacing w:val="-1"/>
        </w:rPr>
        <w:t xml:space="preserve"> </w:t>
      </w:r>
      <w:r>
        <w:t>proposal</w:t>
      </w:r>
      <w:r>
        <w:rPr>
          <w:spacing w:val="-1"/>
        </w:rPr>
        <w:t xml:space="preserve"> </w:t>
      </w:r>
      <w:r>
        <w:t>is contrary to the objectives of the aims of plan of North Sydney Local Environmental Plan 2013 pursuant to Clause 1.2 in that the proposal is inconsistent with:</w:t>
      </w:r>
    </w:p>
    <w:p w14:paraId="28CB3BD0" w14:textId="77777777" w:rsidR="00AF7C7A" w:rsidRDefault="00AF7C7A">
      <w:pPr>
        <w:pStyle w:val="BodyText"/>
      </w:pPr>
    </w:p>
    <w:p w14:paraId="28CB3BD1" w14:textId="77777777" w:rsidR="00AF7C7A" w:rsidRDefault="00B70796">
      <w:pPr>
        <w:pStyle w:val="ListParagraph"/>
        <w:numPr>
          <w:ilvl w:val="1"/>
          <w:numId w:val="1"/>
        </w:numPr>
        <w:tabs>
          <w:tab w:val="left" w:pos="1178"/>
          <w:tab w:val="left" w:pos="1180"/>
        </w:tabs>
        <w:ind w:right="216"/>
        <w:jc w:val="both"/>
      </w:pPr>
      <w:r>
        <w:t>The proposal</w:t>
      </w:r>
      <w:r>
        <w:rPr>
          <w:spacing w:val="-2"/>
        </w:rPr>
        <w:t xml:space="preserve"> </w:t>
      </w:r>
      <w:r>
        <w:t>does</w:t>
      </w:r>
      <w:r>
        <w:rPr>
          <w:spacing w:val="-2"/>
        </w:rPr>
        <w:t xml:space="preserve"> </w:t>
      </w:r>
      <w:r>
        <w:t>not provide development</w:t>
      </w:r>
      <w:r>
        <w:rPr>
          <w:spacing w:val="-5"/>
        </w:rPr>
        <w:t xml:space="preserve"> </w:t>
      </w:r>
      <w:r>
        <w:t>that</w:t>
      </w:r>
      <w:r>
        <w:rPr>
          <w:spacing w:val="-1"/>
        </w:rPr>
        <w:t xml:space="preserve"> </w:t>
      </w:r>
      <w:r>
        <w:t>is appropriate</w:t>
      </w:r>
      <w:r>
        <w:rPr>
          <w:spacing w:val="-3"/>
        </w:rPr>
        <w:t xml:space="preserve"> </w:t>
      </w:r>
      <w:r>
        <w:t>to</w:t>
      </w:r>
      <w:r>
        <w:rPr>
          <w:spacing w:val="-5"/>
        </w:rPr>
        <w:t xml:space="preserve"> </w:t>
      </w:r>
      <w:r>
        <w:t>its</w:t>
      </w:r>
      <w:r>
        <w:rPr>
          <w:spacing w:val="-6"/>
        </w:rPr>
        <w:t xml:space="preserve"> </w:t>
      </w:r>
      <w:r>
        <w:t>context and is</w:t>
      </w:r>
      <w:r>
        <w:rPr>
          <w:spacing w:val="-16"/>
        </w:rPr>
        <w:t xml:space="preserve"> </w:t>
      </w:r>
      <w:r>
        <w:t>does</w:t>
      </w:r>
      <w:r>
        <w:rPr>
          <w:spacing w:val="-15"/>
        </w:rPr>
        <w:t xml:space="preserve"> </w:t>
      </w:r>
      <w:r>
        <w:t>not</w:t>
      </w:r>
      <w:r>
        <w:rPr>
          <w:spacing w:val="-15"/>
        </w:rPr>
        <w:t xml:space="preserve"> </w:t>
      </w:r>
      <w:r>
        <w:t>enhance</w:t>
      </w:r>
      <w:r>
        <w:rPr>
          <w:spacing w:val="-16"/>
        </w:rPr>
        <w:t xml:space="preserve"> </w:t>
      </w:r>
      <w:r>
        <w:t>the</w:t>
      </w:r>
      <w:r>
        <w:rPr>
          <w:spacing w:val="-15"/>
        </w:rPr>
        <w:t xml:space="preserve"> </w:t>
      </w:r>
      <w:r>
        <w:t>amenity</w:t>
      </w:r>
      <w:r>
        <w:rPr>
          <w:spacing w:val="-15"/>
        </w:rPr>
        <w:t xml:space="preserve"> </w:t>
      </w:r>
      <w:r>
        <w:t>of</w:t>
      </w:r>
      <w:r>
        <w:rPr>
          <w:spacing w:val="-15"/>
        </w:rPr>
        <w:t xml:space="preserve"> </w:t>
      </w:r>
      <w:r>
        <w:t>the</w:t>
      </w:r>
      <w:r>
        <w:rPr>
          <w:spacing w:val="-14"/>
        </w:rPr>
        <w:t xml:space="preserve"> </w:t>
      </w:r>
      <w:r>
        <w:t>North</w:t>
      </w:r>
      <w:r>
        <w:rPr>
          <w:spacing w:val="-16"/>
        </w:rPr>
        <w:t xml:space="preserve"> </w:t>
      </w:r>
      <w:r>
        <w:t>Sydney</w:t>
      </w:r>
      <w:r>
        <w:rPr>
          <w:spacing w:val="-12"/>
        </w:rPr>
        <w:t xml:space="preserve"> </w:t>
      </w:r>
      <w:r>
        <w:t>community</w:t>
      </w:r>
      <w:r>
        <w:rPr>
          <w:spacing w:val="-13"/>
        </w:rPr>
        <w:t xml:space="preserve"> </w:t>
      </w:r>
      <w:r>
        <w:t>and</w:t>
      </w:r>
      <w:r>
        <w:rPr>
          <w:spacing w:val="-14"/>
        </w:rPr>
        <w:t xml:space="preserve"> </w:t>
      </w:r>
      <w:r>
        <w:t>environment (Clause 1.2(2)(a));</w:t>
      </w:r>
    </w:p>
    <w:p w14:paraId="28CB3BD2" w14:textId="77777777" w:rsidR="00AF7C7A" w:rsidRDefault="00B70796">
      <w:pPr>
        <w:pStyle w:val="ListParagraph"/>
        <w:numPr>
          <w:ilvl w:val="1"/>
          <w:numId w:val="1"/>
        </w:numPr>
        <w:tabs>
          <w:tab w:val="left" w:pos="1180"/>
        </w:tabs>
        <w:ind w:right="485"/>
      </w:pPr>
      <w:r>
        <w:t>The proposal is</w:t>
      </w:r>
      <w:r>
        <w:rPr>
          <w:spacing w:val="-1"/>
        </w:rPr>
        <w:t xml:space="preserve"> </w:t>
      </w:r>
      <w:r>
        <w:t>not compatible with</w:t>
      </w:r>
      <w:r>
        <w:rPr>
          <w:spacing w:val="-1"/>
        </w:rPr>
        <w:t xml:space="preserve"> </w:t>
      </w:r>
      <w:r>
        <w:t>the</w:t>
      </w:r>
      <w:r>
        <w:rPr>
          <w:spacing w:val="-4"/>
        </w:rPr>
        <w:t xml:space="preserve"> </w:t>
      </w:r>
      <w:r>
        <w:t>desired</w:t>
      </w:r>
      <w:r>
        <w:rPr>
          <w:spacing w:val="-4"/>
        </w:rPr>
        <w:t xml:space="preserve"> </w:t>
      </w:r>
      <w:r>
        <w:t>future</w:t>
      </w:r>
      <w:r>
        <w:rPr>
          <w:spacing w:val="-4"/>
        </w:rPr>
        <w:t xml:space="preserve"> </w:t>
      </w:r>
      <w:r>
        <w:t>character in</w:t>
      </w:r>
      <w:r>
        <w:rPr>
          <w:spacing w:val="-4"/>
        </w:rPr>
        <w:t xml:space="preserve"> </w:t>
      </w:r>
      <w:r>
        <w:t>terms</w:t>
      </w:r>
      <w:r>
        <w:rPr>
          <w:spacing w:val="-6"/>
        </w:rPr>
        <w:t xml:space="preserve"> </w:t>
      </w:r>
      <w:r>
        <w:t>of its setback to the eastern boundary (Clause 1.2(2)(b)(i));</w:t>
      </w:r>
    </w:p>
    <w:p w14:paraId="28CB3BD3" w14:textId="77777777" w:rsidR="00AF7C7A" w:rsidRDefault="00B70796">
      <w:pPr>
        <w:pStyle w:val="ListParagraph"/>
        <w:numPr>
          <w:ilvl w:val="1"/>
          <w:numId w:val="1"/>
        </w:numPr>
        <w:tabs>
          <w:tab w:val="left" w:pos="1180"/>
        </w:tabs>
        <w:spacing w:before="1"/>
        <w:ind w:right="350"/>
      </w:pPr>
      <w:r>
        <w:t>The</w:t>
      </w:r>
      <w:r>
        <w:rPr>
          <w:spacing w:val="-2"/>
        </w:rPr>
        <w:t xml:space="preserve"> </w:t>
      </w:r>
      <w:r>
        <w:t>proposal</w:t>
      </w:r>
      <w:r>
        <w:rPr>
          <w:spacing w:val="-3"/>
        </w:rPr>
        <w:t xml:space="preserve"> </w:t>
      </w:r>
      <w:r>
        <w:t>adversely</w:t>
      </w:r>
      <w:r>
        <w:rPr>
          <w:spacing w:val="-7"/>
        </w:rPr>
        <w:t xml:space="preserve"> </w:t>
      </w:r>
      <w:r>
        <w:t>affects</w:t>
      </w:r>
      <w:r>
        <w:rPr>
          <w:spacing w:val="-6"/>
        </w:rPr>
        <w:t xml:space="preserve"> </w:t>
      </w:r>
      <w:r>
        <w:t>the</w:t>
      </w:r>
      <w:r>
        <w:rPr>
          <w:spacing w:val="-5"/>
        </w:rPr>
        <w:t xml:space="preserve"> </w:t>
      </w:r>
      <w:r>
        <w:t>residential</w:t>
      </w:r>
      <w:r>
        <w:rPr>
          <w:spacing w:val="-3"/>
        </w:rPr>
        <w:t xml:space="preserve"> </w:t>
      </w:r>
      <w:r>
        <w:t>amenity of</w:t>
      </w:r>
      <w:r>
        <w:rPr>
          <w:spacing w:val="-1"/>
        </w:rPr>
        <w:t xml:space="preserve"> </w:t>
      </w:r>
      <w:r>
        <w:t>adjoining</w:t>
      </w:r>
      <w:r>
        <w:rPr>
          <w:spacing w:val="-3"/>
        </w:rPr>
        <w:t xml:space="preserve"> </w:t>
      </w:r>
      <w:r>
        <w:t>properties</w:t>
      </w:r>
      <w:r>
        <w:rPr>
          <w:spacing w:val="-3"/>
        </w:rPr>
        <w:t xml:space="preserve"> </w:t>
      </w:r>
      <w:r>
        <w:t>in terms of solar access and view sharing (Clause 1.2(2)(c)(i));</w:t>
      </w:r>
    </w:p>
    <w:p w14:paraId="28CB3BD4" w14:textId="77777777" w:rsidR="00AF7C7A" w:rsidRDefault="00B70796">
      <w:pPr>
        <w:pStyle w:val="ListParagraph"/>
        <w:numPr>
          <w:ilvl w:val="0"/>
          <w:numId w:val="1"/>
        </w:numPr>
        <w:tabs>
          <w:tab w:val="left" w:pos="456"/>
          <w:tab w:val="left" w:pos="460"/>
        </w:tabs>
        <w:spacing w:before="250"/>
        <w:ind w:right="131" w:hanging="360"/>
        <w:jc w:val="both"/>
      </w:pPr>
      <w:r>
        <w:t>The proposed development is considered unacceptable pursuant to the provisions of s4.15(1)(a)(i)</w:t>
      </w:r>
      <w:r>
        <w:rPr>
          <w:spacing w:val="-3"/>
        </w:rPr>
        <w:t xml:space="preserve"> </w:t>
      </w:r>
      <w:r>
        <w:t>of</w:t>
      </w:r>
      <w:r>
        <w:rPr>
          <w:spacing w:val="-2"/>
        </w:rPr>
        <w:t xml:space="preserve"> </w:t>
      </w:r>
      <w:r>
        <w:t>the</w:t>
      </w:r>
      <w:r>
        <w:rPr>
          <w:spacing w:val="-4"/>
        </w:rPr>
        <w:t xml:space="preserve"> </w:t>
      </w:r>
      <w:r>
        <w:t>Environmental</w:t>
      </w:r>
      <w:r>
        <w:rPr>
          <w:spacing w:val="-2"/>
        </w:rPr>
        <w:t xml:space="preserve"> </w:t>
      </w:r>
      <w:r>
        <w:t>Planning and</w:t>
      </w:r>
      <w:r>
        <w:rPr>
          <w:spacing w:val="-16"/>
        </w:rPr>
        <w:t xml:space="preserve"> </w:t>
      </w:r>
      <w:r>
        <w:t>Assessment</w:t>
      </w:r>
      <w:r>
        <w:rPr>
          <w:spacing w:val="-11"/>
        </w:rPr>
        <w:t xml:space="preserve"> </w:t>
      </w:r>
      <w:r>
        <w:t>Act 1979</w:t>
      </w:r>
      <w:r>
        <w:rPr>
          <w:spacing w:val="-2"/>
        </w:rPr>
        <w:t xml:space="preserve"> </w:t>
      </w:r>
      <w:r>
        <w:t>as</w:t>
      </w:r>
      <w:r>
        <w:rPr>
          <w:spacing w:val="-4"/>
        </w:rPr>
        <w:t xml:space="preserve"> </w:t>
      </w:r>
      <w:r>
        <w:t>the proposal is inconsistent</w:t>
      </w:r>
      <w:r>
        <w:rPr>
          <w:spacing w:val="-7"/>
        </w:rPr>
        <w:t xml:space="preserve"> </w:t>
      </w:r>
      <w:r>
        <w:t>with</w:t>
      </w:r>
      <w:r>
        <w:rPr>
          <w:spacing w:val="-9"/>
        </w:rPr>
        <w:t xml:space="preserve"> </w:t>
      </w:r>
      <w:r>
        <w:t>the</w:t>
      </w:r>
      <w:r>
        <w:rPr>
          <w:spacing w:val="-9"/>
        </w:rPr>
        <w:t xml:space="preserve"> </w:t>
      </w:r>
      <w:r>
        <w:t>objectives</w:t>
      </w:r>
      <w:r>
        <w:rPr>
          <w:spacing w:val="-9"/>
        </w:rPr>
        <w:t xml:space="preserve"> </w:t>
      </w:r>
      <w:r>
        <w:t>of</w:t>
      </w:r>
      <w:r>
        <w:rPr>
          <w:spacing w:val="-10"/>
        </w:rPr>
        <w:t xml:space="preserve"> </w:t>
      </w:r>
      <w:r>
        <w:t>the</w:t>
      </w:r>
      <w:r>
        <w:rPr>
          <w:spacing w:val="-7"/>
        </w:rPr>
        <w:t xml:space="preserve"> </w:t>
      </w:r>
      <w:r>
        <w:t>E2</w:t>
      </w:r>
      <w:r>
        <w:rPr>
          <w:spacing w:val="-9"/>
        </w:rPr>
        <w:t xml:space="preserve"> </w:t>
      </w:r>
      <w:r>
        <w:t>Commercial</w:t>
      </w:r>
      <w:r>
        <w:rPr>
          <w:spacing w:val="-10"/>
        </w:rPr>
        <w:t xml:space="preserve"> </w:t>
      </w:r>
      <w:r>
        <w:t>Centre</w:t>
      </w:r>
      <w:r>
        <w:rPr>
          <w:spacing w:val="-7"/>
        </w:rPr>
        <w:t xml:space="preserve"> </w:t>
      </w:r>
      <w:r>
        <w:t>zone</w:t>
      </w:r>
      <w:r>
        <w:rPr>
          <w:spacing w:val="-9"/>
        </w:rPr>
        <w:t xml:space="preserve"> </w:t>
      </w:r>
      <w:r>
        <w:t>pursuant</w:t>
      </w:r>
      <w:r>
        <w:rPr>
          <w:spacing w:val="-7"/>
        </w:rPr>
        <w:t xml:space="preserve"> </w:t>
      </w:r>
      <w:r>
        <w:t>to</w:t>
      </w:r>
      <w:r>
        <w:rPr>
          <w:spacing w:val="-9"/>
        </w:rPr>
        <w:t xml:space="preserve"> </w:t>
      </w:r>
      <w:r>
        <w:t>Clause</w:t>
      </w:r>
      <w:r>
        <w:rPr>
          <w:spacing w:val="-9"/>
        </w:rPr>
        <w:t xml:space="preserve"> </w:t>
      </w:r>
      <w:r>
        <w:t>2.3 of the North Sydney Local Environmental Plan 2013 in that:</w:t>
      </w:r>
    </w:p>
    <w:p w14:paraId="28CB3BD5" w14:textId="77777777" w:rsidR="00AF7C7A" w:rsidRDefault="00AF7C7A">
      <w:pPr>
        <w:pStyle w:val="BodyText"/>
        <w:spacing w:before="2"/>
      </w:pPr>
    </w:p>
    <w:p w14:paraId="28CB3BD6" w14:textId="77777777" w:rsidR="00AF7C7A" w:rsidRDefault="00B70796">
      <w:pPr>
        <w:pStyle w:val="ListParagraph"/>
        <w:numPr>
          <w:ilvl w:val="1"/>
          <w:numId w:val="1"/>
        </w:numPr>
        <w:tabs>
          <w:tab w:val="left" w:pos="1024"/>
          <w:tab w:val="left" w:pos="1026"/>
        </w:tabs>
        <w:ind w:left="1026" w:right="177" w:hanging="569"/>
        <w:jc w:val="both"/>
      </w:pPr>
      <w:r>
        <w:t>The proposal is not consistent with the Council’s strategic planning or residential development in the area.</w:t>
      </w:r>
    </w:p>
    <w:p w14:paraId="28CB3BD7" w14:textId="77777777" w:rsidR="00AF7C7A" w:rsidRDefault="00B70796">
      <w:pPr>
        <w:pStyle w:val="ListParagraph"/>
        <w:numPr>
          <w:ilvl w:val="1"/>
          <w:numId w:val="1"/>
        </w:numPr>
        <w:tabs>
          <w:tab w:val="left" w:pos="1024"/>
          <w:tab w:val="left" w:pos="1026"/>
        </w:tabs>
        <w:spacing w:before="3"/>
        <w:ind w:left="1026" w:right="173" w:hanging="569"/>
        <w:jc w:val="both"/>
      </w:pPr>
      <w:r>
        <w:t>The</w:t>
      </w:r>
      <w:r>
        <w:rPr>
          <w:spacing w:val="-6"/>
        </w:rPr>
        <w:t xml:space="preserve"> </w:t>
      </w:r>
      <w:r>
        <w:t>proposal</w:t>
      </w:r>
      <w:r>
        <w:rPr>
          <w:spacing w:val="-9"/>
        </w:rPr>
        <w:t xml:space="preserve"> </w:t>
      </w:r>
      <w:r>
        <w:t>fails</w:t>
      </w:r>
      <w:r>
        <w:rPr>
          <w:spacing w:val="-4"/>
        </w:rPr>
        <w:t xml:space="preserve"> </w:t>
      </w:r>
      <w:r>
        <w:t>to</w:t>
      </w:r>
      <w:r>
        <w:rPr>
          <w:spacing w:val="-6"/>
        </w:rPr>
        <w:t xml:space="preserve"> </w:t>
      </w:r>
      <w:r>
        <w:t>minimise</w:t>
      </w:r>
      <w:r>
        <w:rPr>
          <w:spacing w:val="-6"/>
        </w:rPr>
        <w:t xml:space="preserve"> </w:t>
      </w:r>
      <w:r>
        <w:t>the</w:t>
      </w:r>
      <w:r>
        <w:rPr>
          <w:spacing w:val="-4"/>
        </w:rPr>
        <w:t xml:space="preserve"> </w:t>
      </w:r>
      <w:r>
        <w:t>adverse</w:t>
      </w:r>
      <w:r>
        <w:rPr>
          <w:spacing w:val="-6"/>
        </w:rPr>
        <w:t xml:space="preserve"> </w:t>
      </w:r>
      <w:r>
        <w:t>effects</w:t>
      </w:r>
      <w:r>
        <w:rPr>
          <w:spacing w:val="-6"/>
        </w:rPr>
        <w:t xml:space="preserve"> </w:t>
      </w:r>
      <w:r>
        <w:t>of</w:t>
      </w:r>
      <w:r>
        <w:rPr>
          <w:spacing w:val="-3"/>
        </w:rPr>
        <w:t xml:space="preserve"> </w:t>
      </w:r>
      <w:r>
        <w:t>development</w:t>
      </w:r>
      <w:r>
        <w:rPr>
          <w:spacing w:val="-5"/>
        </w:rPr>
        <w:t xml:space="preserve"> </w:t>
      </w:r>
      <w:r>
        <w:t>on</w:t>
      </w:r>
      <w:r>
        <w:rPr>
          <w:spacing w:val="-7"/>
        </w:rPr>
        <w:t xml:space="preserve"> </w:t>
      </w:r>
      <w:r>
        <w:t>residents</w:t>
      </w:r>
      <w:r>
        <w:rPr>
          <w:spacing w:val="-4"/>
        </w:rPr>
        <w:t xml:space="preserve"> </w:t>
      </w:r>
      <w:r>
        <w:t>and occupiers of existing and new development.</w:t>
      </w:r>
    </w:p>
    <w:p w14:paraId="28CB3BD8" w14:textId="77777777" w:rsidR="00AF7C7A" w:rsidRDefault="00AF7C7A">
      <w:pPr>
        <w:pStyle w:val="BodyText"/>
        <w:spacing w:before="19"/>
      </w:pPr>
    </w:p>
    <w:p w14:paraId="28CB3BD9" w14:textId="77777777" w:rsidR="00AF7C7A" w:rsidRDefault="00B70796">
      <w:pPr>
        <w:pStyle w:val="ListParagraph"/>
        <w:numPr>
          <w:ilvl w:val="0"/>
          <w:numId w:val="1"/>
        </w:numPr>
        <w:tabs>
          <w:tab w:val="left" w:pos="456"/>
          <w:tab w:val="left" w:pos="460"/>
        </w:tabs>
        <w:ind w:right="176" w:hanging="360"/>
        <w:jc w:val="both"/>
      </w:pPr>
      <w:r>
        <w:t>The proposed development is considered unacceptable pursuant to the provisions of s4.15(1)(a)(i) of the Environmental Planning and Assessment Act 1979 as the design quality</w:t>
      </w:r>
      <w:r>
        <w:rPr>
          <w:spacing w:val="-1"/>
        </w:rPr>
        <w:t xml:space="preserve"> </w:t>
      </w:r>
      <w:r>
        <w:t>of</w:t>
      </w:r>
      <w:r>
        <w:rPr>
          <w:spacing w:val="-5"/>
        </w:rPr>
        <w:t xml:space="preserve"> </w:t>
      </w:r>
      <w:r>
        <w:t>the</w:t>
      </w:r>
      <w:r>
        <w:rPr>
          <w:spacing w:val="-4"/>
        </w:rPr>
        <w:t xml:space="preserve"> </w:t>
      </w:r>
      <w:r>
        <w:t>proposal</w:t>
      </w:r>
      <w:r>
        <w:rPr>
          <w:spacing w:val="-4"/>
        </w:rPr>
        <w:t xml:space="preserve"> </w:t>
      </w:r>
      <w:r>
        <w:t>when</w:t>
      </w:r>
      <w:r>
        <w:rPr>
          <w:spacing w:val="-2"/>
        </w:rPr>
        <w:t xml:space="preserve"> </w:t>
      </w:r>
      <w:r>
        <w:t>evaluated</w:t>
      </w:r>
      <w:r>
        <w:rPr>
          <w:spacing w:val="-6"/>
        </w:rPr>
        <w:t xml:space="preserve"> </w:t>
      </w:r>
      <w:r>
        <w:t>in</w:t>
      </w:r>
      <w:r>
        <w:rPr>
          <w:spacing w:val="-2"/>
        </w:rPr>
        <w:t xml:space="preserve"> </w:t>
      </w:r>
      <w:r>
        <w:t>accordance</w:t>
      </w:r>
      <w:r>
        <w:rPr>
          <w:spacing w:val="-2"/>
        </w:rPr>
        <w:t xml:space="preserve"> </w:t>
      </w:r>
      <w:r>
        <w:t>with</w:t>
      </w:r>
      <w:r>
        <w:rPr>
          <w:spacing w:val="-6"/>
        </w:rPr>
        <w:t xml:space="preserve"> </w:t>
      </w:r>
      <w:r>
        <w:t>the</w:t>
      </w:r>
      <w:r>
        <w:rPr>
          <w:spacing w:val="-1"/>
        </w:rPr>
        <w:t xml:space="preserve"> </w:t>
      </w:r>
      <w:r>
        <w:t>design</w:t>
      </w:r>
      <w:r>
        <w:rPr>
          <w:spacing w:val="-4"/>
        </w:rPr>
        <w:t xml:space="preserve"> </w:t>
      </w:r>
      <w:r>
        <w:t>quality</w:t>
      </w:r>
      <w:r>
        <w:rPr>
          <w:spacing w:val="-1"/>
        </w:rPr>
        <w:t xml:space="preserve"> </w:t>
      </w:r>
      <w:r>
        <w:t>principles</w:t>
      </w:r>
      <w:r>
        <w:rPr>
          <w:spacing w:val="-1"/>
        </w:rPr>
        <w:t xml:space="preserve"> </w:t>
      </w:r>
      <w:r>
        <w:t>is unacceptable, contrary to Clause 147(1) of State Environmental Planning Policy (Housing) - Design Quality of Residential</w:t>
      </w:r>
      <w:r>
        <w:rPr>
          <w:spacing w:val="-2"/>
        </w:rPr>
        <w:t xml:space="preserve"> </w:t>
      </w:r>
      <w:r>
        <w:t>Apartment Development. Consent must not be granted as the proposal does not demonstrate that adequate regard has been given to the design quality principles. In particular, the proposal is inconsistent with the following design quality principles:</w:t>
      </w:r>
    </w:p>
    <w:p w14:paraId="28CB3BDA" w14:textId="77777777" w:rsidR="00AF7C7A" w:rsidRDefault="00AF7C7A">
      <w:pPr>
        <w:pStyle w:val="BodyText"/>
        <w:spacing w:before="1"/>
      </w:pPr>
    </w:p>
    <w:p w14:paraId="28CB3BDB" w14:textId="77777777" w:rsidR="00AF7C7A" w:rsidRDefault="00B70796">
      <w:pPr>
        <w:pStyle w:val="ListParagraph"/>
        <w:numPr>
          <w:ilvl w:val="1"/>
          <w:numId w:val="1"/>
        </w:numPr>
        <w:tabs>
          <w:tab w:val="left" w:pos="1022"/>
          <w:tab w:val="left" w:pos="1026"/>
        </w:tabs>
        <w:ind w:left="1026" w:right="115" w:hanging="569"/>
        <w:jc w:val="both"/>
      </w:pPr>
      <w:r>
        <w:t>Principle 1 - Current and Neighbourhood Character: The proposed development does not respect the existing context, comprising the spatial; and visual qualities. And fails to conform to the build form controls.</w:t>
      </w:r>
    </w:p>
    <w:p w14:paraId="28CB3BDC" w14:textId="77777777" w:rsidR="00AF7C7A" w:rsidRDefault="00AF7C7A">
      <w:pPr>
        <w:pStyle w:val="BodyText"/>
        <w:spacing w:before="1"/>
      </w:pPr>
    </w:p>
    <w:p w14:paraId="28CB3BDD" w14:textId="77777777" w:rsidR="00AF7C7A" w:rsidRDefault="00B70796">
      <w:pPr>
        <w:pStyle w:val="ListParagraph"/>
        <w:numPr>
          <w:ilvl w:val="1"/>
          <w:numId w:val="1"/>
        </w:numPr>
        <w:tabs>
          <w:tab w:val="left" w:pos="1022"/>
          <w:tab w:val="left" w:pos="1026"/>
        </w:tabs>
        <w:ind w:left="1026" w:right="116" w:hanging="569"/>
        <w:jc w:val="both"/>
      </w:pPr>
      <w:r>
        <w:t>Principle</w:t>
      </w:r>
      <w:r>
        <w:rPr>
          <w:spacing w:val="-4"/>
        </w:rPr>
        <w:t xml:space="preserve"> </w:t>
      </w:r>
      <w:r>
        <w:t>2</w:t>
      </w:r>
      <w:r>
        <w:rPr>
          <w:spacing w:val="-6"/>
        </w:rPr>
        <w:t xml:space="preserve"> </w:t>
      </w:r>
      <w:r>
        <w:t>-</w:t>
      </w:r>
      <w:r>
        <w:rPr>
          <w:spacing w:val="-8"/>
        </w:rPr>
        <w:t xml:space="preserve"> </w:t>
      </w:r>
      <w:r>
        <w:t>Built</w:t>
      </w:r>
      <w:r>
        <w:rPr>
          <w:spacing w:val="-5"/>
        </w:rPr>
        <w:t xml:space="preserve"> </w:t>
      </w:r>
      <w:r>
        <w:t>Form</w:t>
      </w:r>
      <w:r>
        <w:rPr>
          <w:spacing w:val="-5"/>
        </w:rPr>
        <w:t xml:space="preserve"> </w:t>
      </w:r>
      <w:r>
        <w:t>and</w:t>
      </w:r>
      <w:r>
        <w:rPr>
          <w:spacing w:val="-4"/>
        </w:rPr>
        <w:t xml:space="preserve"> </w:t>
      </w:r>
      <w:r>
        <w:t>Scale:</w:t>
      </w:r>
      <w:r>
        <w:rPr>
          <w:spacing w:val="-10"/>
        </w:rPr>
        <w:t xml:space="preserve"> </w:t>
      </w:r>
      <w:r>
        <w:t>The</w:t>
      </w:r>
      <w:r>
        <w:rPr>
          <w:spacing w:val="-4"/>
        </w:rPr>
        <w:t xml:space="preserve"> </w:t>
      </w:r>
      <w:r>
        <w:t>bulk</w:t>
      </w:r>
      <w:r>
        <w:rPr>
          <w:spacing w:val="-4"/>
        </w:rPr>
        <w:t xml:space="preserve"> </w:t>
      </w:r>
      <w:r>
        <w:t>and</w:t>
      </w:r>
      <w:r>
        <w:rPr>
          <w:spacing w:val="-4"/>
        </w:rPr>
        <w:t xml:space="preserve"> </w:t>
      </w:r>
      <w:r>
        <w:t>scale</w:t>
      </w:r>
      <w:r>
        <w:rPr>
          <w:spacing w:val="-2"/>
        </w:rPr>
        <w:t xml:space="preserve"> </w:t>
      </w:r>
      <w:r>
        <w:t>of</w:t>
      </w:r>
      <w:r>
        <w:rPr>
          <w:spacing w:val="-2"/>
        </w:rPr>
        <w:t xml:space="preserve"> </w:t>
      </w:r>
      <w:r>
        <w:t>the</w:t>
      </w:r>
      <w:r>
        <w:rPr>
          <w:spacing w:val="-4"/>
        </w:rPr>
        <w:t xml:space="preserve"> </w:t>
      </w:r>
      <w:r>
        <w:t>proposed</w:t>
      </w:r>
      <w:r>
        <w:rPr>
          <w:spacing w:val="-4"/>
        </w:rPr>
        <w:t xml:space="preserve"> </w:t>
      </w:r>
      <w:r>
        <w:t>development is</w:t>
      </w:r>
      <w:r>
        <w:rPr>
          <w:spacing w:val="-11"/>
        </w:rPr>
        <w:t xml:space="preserve"> </w:t>
      </w:r>
      <w:r>
        <w:t>not</w:t>
      </w:r>
      <w:r>
        <w:rPr>
          <w:spacing w:val="-12"/>
        </w:rPr>
        <w:t xml:space="preserve"> </w:t>
      </w:r>
      <w:r>
        <w:t>in</w:t>
      </w:r>
      <w:r>
        <w:rPr>
          <w:spacing w:val="-14"/>
        </w:rPr>
        <w:t xml:space="preserve"> </w:t>
      </w:r>
      <w:r>
        <w:t>keeping</w:t>
      </w:r>
      <w:r>
        <w:rPr>
          <w:spacing w:val="-14"/>
        </w:rPr>
        <w:t xml:space="preserve"> </w:t>
      </w:r>
      <w:r>
        <w:t>with</w:t>
      </w:r>
      <w:r>
        <w:rPr>
          <w:spacing w:val="-14"/>
        </w:rPr>
        <w:t xml:space="preserve"> </w:t>
      </w:r>
      <w:r>
        <w:t>the</w:t>
      </w:r>
      <w:r>
        <w:rPr>
          <w:spacing w:val="-16"/>
        </w:rPr>
        <w:t xml:space="preserve"> </w:t>
      </w:r>
      <w:r>
        <w:t>desired</w:t>
      </w:r>
      <w:r>
        <w:rPr>
          <w:spacing w:val="-13"/>
        </w:rPr>
        <w:t xml:space="preserve"> </w:t>
      </w:r>
      <w:r>
        <w:t>future</w:t>
      </w:r>
      <w:r>
        <w:rPr>
          <w:spacing w:val="-14"/>
        </w:rPr>
        <w:t xml:space="preserve"> </w:t>
      </w:r>
      <w:r>
        <w:t>character</w:t>
      </w:r>
      <w:r>
        <w:rPr>
          <w:spacing w:val="-15"/>
        </w:rPr>
        <w:t xml:space="preserve"> </w:t>
      </w:r>
      <w:r>
        <w:t>of</w:t>
      </w:r>
      <w:r>
        <w:rPr>
          <w:spacing w:val="-13"/>
        </w:rPr>
        <w:t xml:space="preserve"> </w:t>
      </w:r>
      <w:r>
        <w:t>the</w:t>
      </w:r>
      <w:r>
        <w:rPr>
          <w:spacing w:val="-14"/>
        </w:rPr>
        <w:t xml:space="preserve"> </w:t>
      </w:r>
      <w:r>
        <w:t>locality.</w:t>
      </w:r>
      <w:r>
        <w:rPr>
          <w:spacing w:val="-12"/>
        </w:rPr>
        <w:t xml:space="preserve"> </w:t>
      </w:r>
      <w:r>
        <w:t>The</w:t>
      </w:r>
      <w:r>
        <w:rPr>
          <w:spacing w:val="-14"/>
        </w:rPr>
        <w:t xml:space="preserve"> </w:t>
      </w:r>
      <w:r>
        <w:t>eastern</w:t>
      </w:r>
      <w:r>
        <w:rPr>
          <w:spacing w:val="-11"/>
        </w:rPr>
        <w:t xml:space="preserve"> </w:t>
      </w:r>
      <w:r>
        <w:t>setback variation to the built form controls will have additional adverse impacts on the surrounding locality</w:t>
      </w:r>
    </w:p>
    <w:p w14:paraId="28CB3BDE" w14:textId="77777777" w:rsidR="00AF7C7A" w:rsidRDefault="00AF7C7A">
      <w:pPr>
        <w:pStyle w:val="BodyText"/>
      </w:pPr>
    </w:p>
    <w:p w14:paraId="28CB3BDF" w14:textId="77777777" w:rsidR="00AF7C7A" w:rsidRDefault="00B70796">
      <w:pPr>
        <w:pStyle w:val="ListParagraph"/>
        <w:numPr>
          <w:ilvl w:val="1"/>
          <w:numId w:val="1"/>
        </w:numPr>
        <w:tabs>
          <w:tab w:val="left" w:pos="1022"/>
          <w:tab w:val="left" w:pos="1026"/>
        </w:tabs>
        <w:ind w:left="1026" w:right="113" w:hanging="569"/>
        <w:jc w:val="both"/>
      </w:pPr>
      <w:r>
        <w:t>Principle 6 -</w:t>
      </w:r>
      <w:r>
        <w:rPr>
          <w:spacing w:val="-2"/>
        </w:rPr>
        <w:t xml:space="preserve"> </w:t>
      </w:r>
      <w:r>
        <w:t>Amenity: The</w:t>
      </w:r>
      <w:r>
        <w:rPr>
          <w:spacing w:val="-8"/>
        </w:rPr>
        <w:t xml:space="preserve"> </w:t>
      </w:r>
      <w:r>
        <w:t>proposal</w:t>
      </w:r>
      <w:r>
        <w:rPr>
          <w:spacing w:val="-8"/>
        </w:rPr>
        <w:t xml:space="preserve"> </w:t>
      </w:r>
      <w:r>
        <w:t>results in an unreasonable level of amenity for surrounding apartments, in the context of the planning controls.</w:t>
      </w:r>
    </w:p>
    <w:p w14:paraId="28CB3BE0" w14:textId="77777777" w:rsidR="00AF7C7A" w:rsidRDefault="00AF7C7A">
      <w:pPr>
        <w:pStyle w:val="BodyText"/>
        <w:spacing w:before="2"/>
      </w:pPr>
    </w:p>
    <w:p w14:paraId="28CB3BE3" w14:textId="77777777" w:rsidR="00AF7C7A" w:rsidRDefault="00B70796">
      <w:pPr>
        <w:pStyle w:val="ListParagraph"/>
        <w:numPr>
          <w:ilvl w:val="0"/>
          <w:numId w:val="1"/>
        </w:numPr>
        <w:tabs>
          <w:tab w:val="left" w:pos="456"/>
          <w:tab w:val="left" w:pos="460"/>
        </w:tabs>
        <w:spacing w:before="78"/>
        <w:ind w:right="229" w:hanging="360"/>
        <w:jc w:val="both"/>
      </w:pPr>
      <w:r>
        <w:t>The proposed development is considered unacceptable pursuant to the provisions of s4.15(1)(a)(i) of the Environmental Planning and Assessment Act 1979 as there are numerous</w:t>
      </w:r>
      <w:r>
        <w:rPr>
          <w:spacing w:val="-16"/>
        </w:rPr>
        <w:t xml:space="preserve"> </w:t>
      </w:r>
      <w:r>
        <w:t>inconsistencies</w:t>
      </w:r>
      <w:r>
        <w:rPr>
          <w:spacing w:val="-15"/>
        </w:rPr>
        <w:t xml:space="preserve"> </w:t>
      </w:r>
      <w:r>
        <w:t>with</w:t>
      </w:r>
      <w:r>
        <w:rPr>
          <w:spacing w:val="-15"/>
        </w:rPr>
        <w:t xml:space="preserve"> </w:t>
      </w:r>
      <w:r>
        <w:t>the</w:t>
      </w:r>
      <w:r>
        <w:rPr>
          <w:spacing w:val="-16"/>
        </w:rPr>
        <w:t xml:space="preserve"> </w:t>
      </w:r>
      <w:r>
        <w:t>Apartment</w:t>
      </w:r>
      <w:r>
        <w:rPr>
          <w:spacing w:val="-11"/>
        </w:rPr>
        <w:t xml:space="preserve"> </w:t>
      </w:r>
      <w:r>
        <w:t>Design</w:t>
      </w:r>
      <w:r>
        <w:rPr>
          <w:spacing w:val="-12"/>
        </w:rPr>
        <w:t xml:space="preserve"> </w:t>
      </w:r>
      <w:r>
        <w:t>Guide</w:t>
      </w:r>
      <w:r>
        <w:rPr>
          <w:spacing w:val="-12"/>
        </w:rPr>
        <w:t xml:space="preserve"> </w:t>
      </w:r>
      <w:r>
        <w:t>pursuant</w:t>
      </w:r>
      <w:r>
        <w:rPr>
          <w:spacing w:val="-14"/>
        </w:rPr>
        <w:t xml:space="preserve"> </w:t>
      </w:r>
      <w:r>
        <w:t>to</w:t>
      </w:r>
      <w:r>
        <w:rPr>
          <w:spacing w:val="-14"/>
        </w:rPr>
        <w:t xml:space="preserve"> </w:t>
      </w:r>
      <w:r>
        <w:t>Clause</w:t>
      </w:r>
      <w:r>
        <w:rPr>
          <w:spacing w:val="-10"/>
        </w:rPr>
        <w:t xml:space="preserve"> </w:t>
      </w:r>
      <w:r>
        <w:t>147(1)</w:t>
      </w:r>
      <w:r>
        <w:rPr>
          <w:spacing w:val="-9"/>
        </w:rPr>
        <w:t xml:space="preserve"> </w:t>
      </w:r>
      <w:r>
        <w:t>of State Environmental</w:t>
      </w:r>
      <w:r>
        <w:rPr>
          <w:spacing w:val="-1"/>
        </w:rPr>
        <w:t xml:space="preserve"> </w:t>
      </w:r>
      <w:r>
        <w:t>Planning Policy (Housing)</w:t>
      </w:r>
      <w:r>
        <w:rPr>
          <w:spacing w:val="40"/>
        </w:rPr>
        <w:t xml:space="preserve"> </w:t>
      </w:r>
      <w:r>
        <w:t>which result in an unsatisfactory impact to amenity and adjoining properties, including the following:</w:t>
      </w:r>
    </w:p>
    <w:p w14:paraId="28CB3BE4" w14:textId="77777777" w:rsidR="00AF7C7A" w:rsidRDefault="00AF7C7A">
      <w:pPr>
        <w:pStyle w:val="BodyText"/>
        <w:spacing w:before="4"/>
      </w:pPr>
    </w:p>
    <w:p w14:paraId="28CB3BE5" w14:textId="77777777" w:rsidR="00AF7C7A" w:rsidRDefault="00B70796">
      <w:pPr>
        <w:pStyle w:val="ListParagraph"/>
        <w:numPr>
          <w:ilvl w:val="1"/>
          <w:numId w:val="1"/>
        </w:numPr>
        <w:tabs>
          <w:tab w:val="left" w:pos="815"/>
          <w:tab w:val="left" w:pos="820"/>
        </w:tabs>
        <w:ind w:left="820" w:right="186" w:hanging="360"/>
        <w:jc w:val="both"/>
      </w:pPr>
      <w:r>
        <w:t>Part 2F and 3F: The side setback from 601 Pacific Highway boundary is six metres for</w:t>
      </w:r>
      <w:r>
        <w:rPr>
          <w:spacing w:val="-8"/>
        </w:rPr>
        <w:t xml:space="preserve"> </w:t>
      </w:r>
      <w:r>
        <w:t>the</w:t>
      </w:r>
      <w:r>
        <w:rPr>
          <w:spacing w:val="-9"/>
        </w:rPr>
        <w:t xml:space="preserve"> </w:t>
      </w:r>
      <w:r>
        <w:t>full</w:t>
      </w:r>
      <w:r>
        <w:rPr>
          <w:spacing w:val="-7"/>
        </w:rPr>
        <w:t xml:space="preserve"> </w:t>
      </w:r>
      <w:r>
        <w:t>height</w:t>
      </w:r>
      <w:r>
        <w:rPr>
          <w:spacing w:val="-7"/>
        </w:rPr>
        <w:t xml:space="preserve"> </w:t>
      </w:r>
      <w:r>
        <w:t>of</w:t>
      </w:r>
      <w:r>
        <w:rPr>
          <w:spacing w:val="-8"/>
        </w:rPr>
        <w:t xml:space="preserve"> </w:t>
      </w:r>
      <w:r>
        <w:t>the</w:t>
      </w:r>
      <w:r>
        <w:rPr>
          <w:spacing w:val="-8"/>
        </w:rPr>
        <w:t xml:space="preserve"> </w:t>
      </w:r>
      <w:r>
        <w:t>residential</w:t>
      </w:r>
      <w:r>
        <w:rPr>
          <w:spacing w:val="-7"/>
        </w:rPr>
        <w:t xml:space="preserve"> </w:t>
      </w:r>
      <w:r>
        <w:t>component</w:t>
      </w:r>
      <w:r>
        <w:rPr>
          <w:spacing w:val="-5"/>
        </w:rPr>
        <w:t xml:space="preserve"> </w:t>
      </w:r>
      <w:r>
        <w:t>of</w:t>
      </w:r>
      <w:r>
        <w:rPr>
          <w:spacing w:val="-7"/>
        </w:rPr>
        <w:t xml:space="preserve"> </w:t>
      </w:r>
      <w:r>
        <w:t>the</w:t>
      </w:r>
      <w:r>
        <w:rPr>
          <w:spacing w:val="-6"/>
        </w:rPr>
        <w:t xml:space="preserve"> </w:t>
      </w:r>
      <w:r>
        <w:t>building.</w:t>
      </w:r>
      <w:r>
        <w:rPr>
          <w:spacing w:val="-5"/>
        </w:rPr>
        <w:t xml:space="preserve"> </w:t>
      </w:r>
      <w:r>
        <w:t>The</w:t>
      </w:r>
      <w:r>
        <w:rPr>
          <w:spacing w:val="-6"/>
        </w:rPr>
        <w:t xml:space="preserve"> </w:t>
      </w:r>
      <w:r>
        <w:t>setback</w:t>
      </w:r>
      <w:r>
        <w:rPr>
          <w:spacing w:val="-11"/>
        </w:rPr>
        <w:t xml:space="preserve"> </w:t>
      </w:r>
      <w:r>
        <w:t>above</w:t>
      </w:r>
      <w:r>
        <w:rPr>
          <w:spacing w:val="-7"/>
        </w:rPr>
        <w:t xml:space="preserve"> </w:t>
      </w:r>
      <w:r>
        <w:t xml:space="preserve">four </w:t>
      </w:r>
      <w:r>
        <w:lastRenderedPageBreak/>
        <w:t>levels is required to be nine metres and 12m over 9 storeys to provide building separation</w:t>
      </w:r>
      <w:r>
        <w:rPr>
          <w:spacing w:val="-4"/>
        </w:rPr>
        <w:t xml:space="preserve"> </w:t>
      </w:r>
      <w:r>
        <w:t>regardless</w:t>
      </w:r>
      <w:r>
        <w:rPr>
          <w:spacing w:val="-3"/>
        </w:rPr>
        <w:t xml:space="preserve"> </w:t>
      </w:r>
      <w:r>
        <w:t>of</w:t>
      </w:r>
      <w:r>
        <w:rPr>
          <w:spacing w:val="-5"/>
        </w:rPr>
        <w:t xml:space="preserve"> </w:t>
      </w:r>
      <w:r>
        <w:t>whether</w:t>
      </w:r>
      <w:r>
        <w:rPr>
          <w:spacing w:val="-5"/>
        </w:rPr>
        <w:t xml:space="preserve"> </w:t>
      </w:r>
      <w:r>
        <w:t>the</w:t>
      </w:r>
      <w:r>
        <w:rPr>
          <w:spacing w:val="-4"/>
        </w:rPr>
        <w:t xml:space="preserve"> </w:t>
      </w:r>
      <w:r>
        <w:t>adjacent</w:t>
      </w:r>
      <w:r>
        <w:rPr>
          <w:spacing w:val="-1"/>
        </w:rPr>
        <w:t xml:space="preserve"> </w:t>
      </w:r>
      <w:r>
        <w:t>building (proposed at similar</w:t>
      </w:r>
      <w:r>
        <w:rPr>
          <w:spacing w:val="-1"/>
        </w:rPr>
        <w:t xml:space="preserve"> </w:t>
      </w:r>
      <w:r>
        <w:t>height)</w:t>
      </w:r>
      <w:r>
        <w:rPr>
          <w:spacing w:val="-1"/>
        </w:rPr>
        <w:t xml:space="preserve"> </w:t>
      </w:r>
      <w:r>
        <w:t>is residential or commercial. The eastern setback fails to provide adequate building separation</w:t>
      </w:r>
      <w:r>
        <w:rPr>
          <w:spacing w:val="-16"/>
        </w:rPr>
        <w:t xml:space="preserve"> </w:t>
      </w:r>
      <w:r>
        <w:t>distances</w:t>
      </w:r>
      <w:r>
        <w:rPr>
          <w:spacing w:val="-15"/>
        </w:rPr>
        <w:t xml:space="preserve"> </w:t>
      </w:r>
      <w:r>
        <w:t>that</w:t>
      </w:r>
      <w:r>
        <w:rPr>
          <w:spacing w:val="-15"/>
        </w:rPr>
        <w:t xml:space="preserve"> </w:t>
      </w:r>
      <w:r>
        <w:t>are</w:t>
      </w:r>
      <w:r>
        <w:rPr>
          <w:spacing w:val="-16"/>
        </w:rPr>
        <w:t xml:space="preserve"> </w:t>
      </w:r>
      <w:r>
        <w:t>shared</w:t>
      </w:r>
      <w:r>
        <w:rPr>
          <w:spacing w:val="-15"/>
        </w:rPr>
        <w:t xml:space="preserve"> </w:t>
      </w:r>
      <w:r>
        <w:t>equitably</w:t>
      </w:r>
      <w:r>
        <w:rPr>
          <w:spacing w:val="-15"/>
        </w:rPr>
        <w:t xml:space="preserve"> </w:t>
      </w:r>
      <w:r>
        <w:t>between</w:t>
      </w:r>
      <w:r>
        <w:rPr>
          <w:spacing w:val="-15"/>
        </w:rPr>
        <w:t xml:space="preserve"> </w:t>
      </w:r>
      <w:r>
        <w:t>neighbouring</w:t>
      </w:r>
      <w:r>
        <w:rPr>
          <w:spacing w:val="-16"/>
        </w:rPr>
        <w:t xml:space="preserve"> </w:t>
      </w:r>
      <w:r>
        <w:t>sites,</w:t>
      </w:r>
      <w:r>
        <w:rPr>
          <w:spacing w:val="-14"/>
        </w:rPr>
        <w:t xml:space="preserve"> </w:t>
      </w:r>
      <w:r>
        <w:t>to</w:t>
      </w:r>
      <w:r>
        <w:rPr>
          <w:spacing w:val="-15"/>
        </w:rPr>
        <w:t xml:space="preserve"> </w:t>
      </w:r>
      <w:r>
        <w:t>achieve reasonable levels of external and internal visual privacy and fails to ensure that new development is scaled to support the desired future character with appropriate massing and spaces between building.</w:t>
      </w:r>
    </w:p>
    <w:p w14:paraId="28CB3BE6" w14:textId="77777777" w:rsidR="00AF7C7A" w:rsidRDefault="00B70796">
      <w:pPr>
        <w:pStyle w:val="ListParagraph"/>
        <w:numPr>
          <w:ilvl w:val="0"/>
          <w:numId w:val="1"/>
        </w:numPr>
        <w:tabs>
          <w:tab w:val="left" w:pos="454"/>
          <w:tab w:val="left" w:pos="458"/>
        </w:tabs>
        <w:spacing w:before="251"/>
        <w:ind w:left="458" w:right="256"/>
        <w:jc w:val="both"/>
      </w:pPr>
      <w:r>
        <w:t>The proposed development is considered unacceptable pursuant to the provisions of s4.15(1)(a)(iii) of</w:t>
      </w:r>
      <w:r>
        <w:rPr>
          <w:spacing w:val="-1"/>
        </w:rPr>
        <w:t xml:space="preserve"> </w:t>
      </w:r>
      <w:r>
        <w:t>the</w:t>
      </w:r>
      <w:r>
        <w:rPr>
          <w:spacing w:val="-3"/>
        </w:rPr>
        <w:t xml:space="preserve"> </w:t>
      </w:r>
      <w:r>
        <w:t>Environmental</w:t>
      </w:r>
      <w:r>
        <w:rPr>
          <w:spacing w:val="-5"/>
        </w:rPr>
        <w:t xml:space="preserve"> </w:t>
      </w:r>
      <w:r>
        <w:t>Planning and</w:t>
      </w:r>
      <w:r>
        <w:rPr>
          <w:spacing w:val="-16"/>
        </w:rPr>
        <w:t xml:space="preserve"> </w:t>
      </w:r>
      <w:r>
        <w:t>Assessment</w:t>
      </w:r>
      <w:r>
        <w:rPr>
          <w:spacing w:val="-11"/>
        </w:rPr>
        <w:t xml:space="preserve"> </w:t>
      </w:r>
      <w:r>
        <w:t>Act 1979</w:t>
      </w:r>
      <w:r>
        <w:rPr>
          <w:spacing w:val="-5"/>
        </w:rPr>
        <w:t xml:space="preserve"> </w:t>
      </w:r>
      <w:r>
        <w:t>as</w:t>
      </w:r>
      <w:r>
        <w:rPr>
          <w:spacing w:val="-5"/>
        </w:rPr>
        <w:t xml:space="preserve"> </w:t>
      </w:r>
      <w:r>
        <w:t>the</w:t>
      </w:r>
      <w:r>
        <w:rPr>
          <w:spacing w:val="-5"/>
        </w:rPr>
        <w:t xml:space="preserve"> </w:t>
      </w:r>
      <w:r>
        <w:t>proposal is inconsistent with various parts of Part A, B and C of the North Sydney Development Control Plan 2013 in that:</w:t>
      </w:r>
    </w:p>
    <w:p w14:paraId="28CB3BE7" w14:textId="77777777" w:rsidR="00AF7C7A" w:rsidRDefault="00AF7C7A">
      <w:pPr>
        <w:pStyle w:val="BodyText"/>
      </w:pPr>
    </w:p>
    <w:p w14:paraId="28CB3BE8" w14:textId="77777777" w:rsidR="00AF7C7A" w:rsidRDefault="00B70796">
      <w:pPr>
        <w:pStyle w:val="ListParagraph"/>
        <w:numPr>
          <w:ilvl w:val="1"/>
          <w:numId w:val="1"/>
        </w:numPr>
        <w:tabs>
          <w:tab w:val="left" w:pos="1022"/>
          <w:tab w:val="left" w:pos="1026"/>
        </w:tabs>
        <w:ind w:left="1026" w:right="116" w:hanging="569"/>
        <w:jc w:val="both"/>
      </w:pPr>
      <w:r>
        <w:t>The proposed development does not satisfactorily respond to Part B Section 2.1.1 General Objectives - O8, O10, Q13 as it does not provide an acceptable level of amenity to adjoining and nearby properties.</w:t>
      </w:r>
    </w:p>
    <w:p w14:paraId="28CB3BE9" w14:textId="77777777" w:rsidR="00AF7C7A" w:rsidRDefault="00B70796">
      <w:pPr>
        <w:pStyle w:val="ListParagraph"/>
        <w:numPr>
          <w:ilvl w:val="1"/>
          <w:numId w:val="1"/>
        </w:numPr>
        <w:tabs>
          <w:tab w:val="left" w:pos="1026"/>
        </w:tabs>
        <w:spacing w:before="252"/>
        <w:ind w:left="1026" w:hanging="566"/>
      </w:pPr>
      <w:r>
        <w:t>The</w:t>
      </w:r>
      <w:r>
        <w:rPr>
          <w:spacing w:val="-4"/>
        </w:rPr>
        <w:t xml:space="preserve"> </w:t>
      </w:r>
      <w:r>
        <w:t>proposed</w:t>
      </w:r>
      <w:r>
        <w:rPr>
          <w:spacing w:val="-3"/>
        </w:rPr>
        <w:t xml:space="preserve"> </w:t>
      </w:r>
      <w:r>
        <w:t>development</w:t>
      </w:r>
      <w:r>
        <w:rPr>
          <w:spacing w:val="1"/>
        </w:rPr>
        <w:t xml:space="preserve"> </w:t>
      </w:r>
      <w:r>
        <w:t>does</w:t>
      </w:r>
      <w:r>
        <w:rPr>
          <w:spacing w:val="-1"/>
        </w:rPr>
        <w:t xml:space="preserve"> </w:t>
      </w:r>
      <w:r>
        <w:t>not</w:t>
      </w:r>
      <w:r>
        <w:rPr>
          <w:spacing w:val="4"/>
        </w:rPr>
        <w:t xml:space="preserve"> </w:t>
      </w:r>
      <w:r>
        <w:t>satisfactorily</w:t>
      </w:r>
      <w:r>
        <w:rPr>
          <w:spacing w:val="1"/>
        </w:rPr>
        <w:t xml:space="preserve"> </w:t>
      </w:r>
      <w:r>
        <w:t>respond</w:t>
      </w:r>
      <w:r>
        <w:rPr>
          <w:spacing w:val="-5"/>
        </w:rPr>
        <w:t xml:space="preserve"> </w:t>
      </w:r>
      <w:r>
        <w:t>to P2</w:t>
      </w:r>
      <w:r>
        <w:rPr>
          <w:spacing w:val="-4"/>
        </w:rPr>
        <w:t xml:space="preserve"> </w:t>
      </w:r>
      <w:r>
        <w:t>in</w:t>
      </w:r>
      <w:r>
        <w:rPr>
          <w:spacing w:val="1"/>
        </w:rPr>
        <w:t xml:space="preserve"> </w:t>
      </w:r>
      <w:r>
        <w:t>Part</w:t>
      </w:r>
      <w:r>
        <w:rPr>
          <w:spacing w:val="-1"/>
        </w:rPr>
        <w:t xml:space="preserve"> </w:t>
      </w:r>
      <w:r>
        <w:t>B</w:t>
      </w:r>
      <w:r>
        <w:rPr>
          <w:spacing w:val="1"/>
        </w:rPr>
        <w:t xml:space="preserve"> </w:t>
      </w:r>
      <w:r>
        <w:rPr>
          <w:spacing w:val="-2"/>
        </w:rPr>
        <w:t>Section</w:t>
      </w:r>
    </w:p>
    <w:p w14:paraId="28CB3BEA" w14:textId="77777777" w:rsidR="00AF7C7A" w:rsidRDefault="00B70796">
      <w:pPr>
        <w:pStyle w:val="BodyText"/>
        <w:spacing w:before="3"/>
        <w:ind w:left="1026"/>
      </w:pPr>
      <w:r>
        <w:t>2.3.7</w:t>
      </w:r>
      <w:r>
        <w:rPr>
          <w:spacing w:val="-4"/>
        </w:rPr>
        <w:t xml:space="preserve"> </w:t>
      </w:r>
      <w:r>
        <w:t>-</w:t>
      </w:r>
      <w:r>
        <w:rPr>
          <w:spacing w:val="-3"/>
        </w:rPr>
        <w:t xml:space="preserve"> </w:t>
      </w:r>
      <w:r>
        <w:t>Views. As</w:t>
      </w:r>
      <w:r>
        <w:rPr>
          <w:spacing w:val="-4"/>
        </w:rPr>
        <w:t xml:space="preserve"> </w:t>
      </w:r>
      <w:r>
        <w:t>a</w:t>
      </w:r>
      <w:r>
        <w:rPr>
          <w:spacing w:val="-4"/>
        </w:rPr>
        <w:t xml:space="preserve"> </w:t>
      </w:r>
      <w:r>
        <w:t>result</w:t>
      </w:r>
      <w:r>
        <w:rPr>
          <w:spacing w:val="-3"/>
        </w:rPr>
        <w:t xml:space="preserve"> </w:t>
      </w:r>
      <w:r>
        <w:t>of</w:t>
      </w:r>
      <w:r>
        <w:rPr>
          <w:spacing w:val="-3"/>
        </w:rPr>
        <w:t xml:space="preserve"> </w:t>
      </w:r>
      <w:r>
        <w:t>the</w:t>
      </w:r>
      <w:r>
        <w:rPr>
          <w:spacing w:val="-4"/>
        </w:rPr>
        <w:t xml:space="preserve"> </w:t>
      </w:r>
      <w:r>
        <w:t>non-compliant eastern</w:t>
      </w:r>
      <w:r>
        <w:rPr>
          <w:spacing w:val="-4"/>
        </w:rPr>
        <w:t xml:space="preserve"> </w:t>
      </w:r>
      <w:r>
        <w:t>side</w:t>
      </w:r>
      <w:r>
        <w:rPr>
          <w:spacing w:val="-2"/>
        </w:rPr>
        <w:t xml:space="preserve"> </w:t>
      </w:r>
      <w:r>
        <w:t>setback</w:t>
      </w:r>
      <w:r>
        <w:rPr>
          <w:spacing w:val="-4"/>
        </w:rPr>
        <w:t xml:space="preserve"> </w:t>
      </w:r>
      <w:r>
        <w:t>view</w:t>
      </w:r>
      <w:r>
        <w:rPr>
          <w:spacing w:val="-4"/>
        </w:rPr>
        <w:t xml:space="preserve"> </w:t>
      </w:r>
      <w:r>
        <w:t>will</w:t>
      </w:r>
      <w:r>
        <w:rPr>
          <w:spacing w:val="-2"/>
        </w:rPr>
        <w:t xml:space="preserve"> </w:t>
      </w:r>
      <w:r>
        <w:t xml:space="preserve">be </w:t>
      </w:r>
      <w:r>
        <w:rPr>
          <w:spacing w:val="-2"/>
        </w:rPr>
        <w:t>obstructed.</w:t>
      </w:r>
    </w:p>
    <w:p w14:paraId="28CB3BEB" w14:textId="77777777" w:rsidR="00AF7C7A" w:rsidRDefault="00B70796">
      <w:pPr>
        <w:pStyle w:val="ListParagraph"/>
        <w:numPr>
          <w:ilvl w:val="1"/>
          <w:numId w:val="1"/>
        </w:numPr>
        <w:tabs>
          <w:tab w:val="left" w:pos="1026"/>
        </w:tabs>
        <w:spacing w:before="249"/>
        <w:ind w:left="1026" w:hanging="566"/>
      </w:pPr>
      <w:r>
        <w:t>The</w:t>
      </w:r>
      <w:r>
        <w:rPr>
          <w:spacing w:val="-4"/>
        </w:rPr>
        <w:t xml:space="preserve"> </w:t>
      </w:r>
      <w:r>
        <w:t>proposed</w:t>
      </w:r>
      <w:r>
        <w:rPr>
          <w:spacing w:val="-3"/>
        </w:rPr>
        <w:t xml:space="preserve"> </w:t>
      </w:r>
      <w:r>
        <w:t>development</w:t>
      </w:r>
      <w:r>
        <w:rPr>
          <w:spacing w:val="1"/>
        </w:rPr>
        <w:t xml:space="preserve"> </w:t>
      </w:r>
      <w:r>
        <w:t>does</w:t>
      </w:r>
      <w:r>
        <w:rPr>
          <w:spacing w:val="-1"/>
        </w:rPr>
        <w:t xml:space="preserve"> </w:t>
      </w:r>
      <w:r>
        <w:t>not</w:t>
      </w:r>
      <w:r>
        <w:rPr>
          <w:spacing w:val="4"/>
        </w:rPr>
        <w:t xml:space="preserve"> </w:t>
      </w:r>
      <w:r>
        <w:t>satisfactorily</w:t>
      </w:r>
      <w:r>
        <w:rPr>
          <w:spacing w:val="1"/>
        </w:rPr>
        <w:t xml:space="preserve"> </w:t>
      </w:r>
      <w:r>
        <w:t>respond</w:t>
      </w:r>
      <w:r>
        <w:rPr>
          <w:spacing w:val="-5"/>
        </w:rPr>
        <w:t xml:space="preserve"> </w:t>
      </w:r>
      <w:r>
        <w:t>to P2</w:t>
      </w:r>
      <w:r>
        <w:rPr>
          <w:spacing w:val="-4"/>
        </w:rPr>
        <w:t xml:space="preserve"> </w:t>
      </w:r>
      <w:r>
        <w:t>in</w:t>
      </w:r>
      <w:r>
        <w:rPr>
          <w:spacing w:val="1"/>
        </w:rPr>
        <w:t xml:space="preserve"> </w:t>
      </w:r>
      <w:r>
        <w:t>Part</w:t>
      </w:r>
      <w:r>
        <w:rPr>
          <w:spacing w:val="-1"/>
        </w:rPr>
        <w:t xml:space="preserve"> </w:t>
      </w:r>
      <w:r>
        <w:t>B</w:t>
      </w:r>
      <w:r>
        <w:rPr>
          <w:spacing w:val="1"/>
        </w:rPr>
        <w:t xml:space="preserve"> </w:t>
      </w:r>
      <w:r>
        <w:rPr>
          <w:spacing w:val="-2"/>
        </w:rPr>
        <w:t>Section</w:t>
      </w:r>
    </w:p>
    <w:p w14:paraId="28CB3BEC" w14:textId="77777777" w:rsidR="00AF7C7A" w:rsidRDefault="00B70796">
      <w:pPr>
        <w:pStyle w:val="BodyText"/>
        <w:spacing w:before="3"/>
        <w:ind w:left="1026"/>
      </w:pPr>
      <w:r>
        <w:t>2.3.8</w:t>
      </w:r>
      <w:r>
        <w:rPr>
          <w:spacing w:val="-4"/>
        </w:rPr>
        <w:t xml:space="preserve"> </w:t>
      </w:r>
      <w:r>
        <w:t>-</w:t>
      </w:r>
      <w:r>
        <w:rPr>
          <w:spacing w:val="-3"/>
        </w:rPr>
        <w:t xml:space="preserve"> </w:t>
      </w:r>
      <w:r>
        <w:t>Solar</w:t>
      </w:r>
      <w:r>
        <w:rPr>
          <w:spacing w:val="-7"/>
        </w:rPr>
        <w:t xml:space="preserve"> </w:t>
      </w:r>
      <w:r>
        <w:t>Access. Solar</w:t>
      </w:r>
      <w:r>
        <w:rPr>
          <w:spacing w:val="-1"/>
        </w:rPr>
        <w:t xml:space="preserve"> </w:t>
      </w:r>
      <w:r>
        <w:t>access</w:t>
      </w:r>
      <w:r>
        <w:rPr>
          <w:spacing w:val="-4"/>
        </w:rPr>
        <w:t xml:space="preserve"> </w:t>
      </w:r>
      <w:r>
        <w:t>to</w:t>
      </w:r>
      <w:r>
        <w:rPr>
          <w:spacing w:val="-4"/>
        </w:rPr>
        <w:t xml:space="preserve"> </w:t>
      </w:r>
      <w:r>
        <w:t>residential</w:t>
      </w:r>
      <w:r>
        <w:rPr>
          <w:spacing w:val="-2"/>
        </w:rPr>
        <w:t xml:space="preserve"> </w:t>
      </w:r>
      <w:r>
        <w:t>properties</w:t>
      </w:r>
      <w:r>
        <w:rPr>
          <w:spacing w:val="-2"/>
        </w:rPr>
        <w:t xml:space="preserve"> </w:t>
      </w:r>
      <w:r>
        <w:t>to</w:t>
      </w:r>
      <w:r>
        <w:rPr>
          <w:spacing w:val="-4"/>
        </w:rPr>
        <w:t xml:space="preserve"> </w:t>
      </w:r>
      <w:r>
        <w:t>the</w:t>
      </w:r>
      <w:r>
        <w:rPr>
          <w:spacing w:val="-4"/>
        </w:rPr>
        <w:t xml:space="preserve"> </w:t>
      </w:r>
      <w:r>
        <w:t>south</w:t>
      </w:r>
      <w:r>
        <w:rPr>
          <w:spacing w:val="-2"/>
        </w:rPr>
        <w:t xml:space="preserve"> </w:t>
      </w:r>
      <w:r>
        <w:t>would</w:t>
      </w:r>
      <w:r>
        <w:rPr>
          <w:spacing w:val="-2"/>
        </w:rPr>
        <w:t xml:space="preserve"> </w:t>
      </w:r>
      <w:r>
        <w:t>be significantly reduced.</w:t>
      </w:r>
    </w:p>
    <w:p w14:paraId="28CB3BED" w14:textId="77777777" w:rsidR="00AF7C7A" w:rsidRDefault="00AF7C7A">
      <w:pPr>
        <w:pStyle w:val="BodyText"/>
        <w:spacing w:before="74"/>
      </w:pPr>
    </w:p>
    <w:p w14:paraId="28CB3BEE" w14:textId="77777777" w:rsidR="00AF7C7A" w:rsidRDefault="00B70796">
      <w:pPr>
        <w:pStyle w:val="ListParagraph"/>
        <w:numPr>
          <w:ilvl w:val="1"/>
          <w:numId w:val="1"/>
        </w:numPr>
        <w:tabs>
          <w:tab w:val="left" w:pos="1022"/>
          <w:tab w:val="left" w:pos="1026"/>
        </w:tabs>
        <w:ind w:left="1026" w:right="114" w:hanging="569"/>
        <w:jc w:val="both"/>
      </w:pPr>
      <w:r>
        <w:t>The</w:t>
      </w:r>
      <w:r>
        <w:rPr>
          <w:spacing w:val="-11"/>
        </w:rPr>
        <w:t xml:space="preserve"> </w:t>
      </w:r>
      <w:r>
        <w:t>design</w:t>
      </w:r>
      <w:r>
        <w:rPr>
          <w:spacing w:val="-11"/>
        </w:rPr>
        <w:t xml:space="preserve"> </w:t>
      </w:r>
      <w:r>
        <w:t>of</w:t>
      </w:r>
      <w:r>
        <w:rPr>
          <w:spacing w:val="-10"/>
        </w:rPr>
        <w:t xml:space="preserve"> </w:t>
      </w:r>
      <w:r>
        <w:t>the</w:t>
      </w:r>
      <w:r>
        <w:rPr>
          <w:spacing w:val="-14"/>
        </w:rPr>
        <w:t xml:space="preserve"> </w:t>
      </w:r>
      <w:r>
        <w:t>proposed</w:t>
      </w:r>
      <w:r>
        <w:rPr>
          <w:spacing w:val="-12"/>
        </w:rPr>
        <w:t xml:space="preserve"> </w:t>
      </w:r>
      <w:r>
        <w:t>development</w:t>
      </w:r>
      <w:r>
        <w:rPr>
          <w:spacing w:val="-9"/>
        </w:rPr>
        <w:t xml:space="preserve"> </w:t>
      </w:r>
      <w:r>
        <w:t>is</w:t>
      </w:r>
      <w:r>
        <w:rPr>
          <w:spacing w:val="-11"/>
        </w:rPr>
        <w:t xml:space="preserve"> </w:t>
      </w:r>
      <w:r>
        <w:t>not</w:t>
      </w:r>
      <w:r>
        <w:rPr>
          <w:spacing w:val="-12"/>
        </w:rPr>
        <w:t xml:space="preserve"> </w:t>
      </w:r>
      <w:r>
        <w:t>consistent</w:t>
      </w:r>
      <w:r>
        <w:rPr>
          <w:spacing w:val="-7"/>
        </w:rPr>
        <w:t xml:space="preserve"> </w:t>
      </w:r>
      <w:r>
        <w:t>with</w:t>
      </w:r>
      <w:r>
        <w:rPr>
          <w:spacing w:val="-16"/>
        </w:rPr>
        <w:t xml:space="preserve"> </w:t>
      </w:r>
      <w:r>
        <w:t>the</w:t>
      </w:r>
      <w:r>
        <w:rPr>
          <w:spacing w:val="-13"/>
        </w:rPr>
        <w:t xml:space="preserve"> </w:t>
      </w:r>
      <w:r>
        <w:t>provisions</w:t>
      </w:r>
      <w:r>
        <w:rPr>
          <w:spacing w:val="-11"/>
        </w:rPr>
        <w:t xml:space="preserve"> </w:t>
      </w:r>
      <w:r>
        <w:t>of</w:t>
      </w:r>
      <w:r>
        <w:rPr>
          <w:spacing w:val="-7"/>
        </w:rPr>
        <w:t xml:space="preserve"> </w:t>
      </w:r>
      <w:r>
        <w:t>Part B Section 2.4.1 – Context, as the proposal fails to ensure that the site layout and building design responds to the existing characteristics, opportunities and constraints of the site and within its wider context</w:t>
      </w:r>
    </w:p>
    <w:p w14:paraId="28CB3BEF" w14:textId="77777777" w:rsidR="00AF7C7A" w:rsidRDefault="00AF7C7A">
      <w:pPr>
        <w:pStyle w:val="BodyText"/>
      </w:pPr>
    </w:p>
    <w:p w14:paraId="28CB3BF0" w14:textId="77777777" w:rsidR="00AF7C7A" w:rsidRDefault="00B70796">
      <w:pPr>
        <w:pStyle w:val="ListParagraph"/>
        <w:numPr>
          <w:ilvl w:val="1"/>
          <w:numId w:val="1"/>
        </w:numPr>
        <w:tabs>
          <w:tab w:val="left" w:pos="1019"/>
          <w:tab w:val="left" w:pos="1026"/>
        </w:tabs>
        <w:ind w:left="1026" w:right="108" w:hanging="569"/>
        <w:jc w:val="both"/>
      </w:pPr>
      <w:r>
        <w:t>The</w:t>
      </w:r>
      <w:r>
        <w:rPr>
          <w:spacing w:val="-3"/>
        </w:rPr>
        <w:t xml:space="preserve"> </w:t>
      </w:r>
      <w:r>
        <w:t>form</w:t>
      </w:r>
      <w:r>
        <w:rPr>
          <w:spacing w:val="-2"/>
        </w:rPr>
        <w:t xml:space="preserve"> </w:t>
      </w:r>
      <w:r>
        <w:t>massing</w:t>
      </w:r>
      <w:r>
        <w:rPr>
          <w:spacing w:val="-2"/>
        </w:rPr>
        <w:t xml:space="preserve"> </w:t>
      </w:r>
      <w:r>
        <w:t>and</w:t>
      </w:r>
      <w:r>
        <w:rPr>
          <w:spacing w:val="-5"/>
        </w:rPr>
        <w:t xml:space="preserve"> </w:t>
      </w:r>
      <w:r>
        <w:t>scale</w:t>
      </w:r>
      <w:r>
        <w:rPr>
          <w:spacing w:val="-2"/>
        </w:rPr>
        <w:t xml:space="preserve"> </w:t>
      </w:r>
      <w:r>
        <w:t>is</w:t>
      </w:r>
      <w:r>
        <w:rPr>
          <w:spacing w:val="-3"/>
        </w:rPr>
        <w:t xml:space="preserve"> </w:t>
      </w:r>
      <w:r>
        <w:t>inconsistent</w:t>
      </w:r>
      <w:r>
        <w:rPr>
          <w:spacing w:val="-2"/>
        </w:rPr>
        <w:t xml:space="preserve"> </w:t>
      </w:r>
      <w:r>
        <w:t>with</w:t>
      </w:r>
      <w:r>
        <w:rPr>
          <w:spacing w:val="-5"/>
        </w:rPr>
        <w:t xml:space="preserve"> </w:t>
      </w:r>
      <w:r>
        <w:t>O4</w:t>
      </w:r>
      <w:r>
        <w:rPr>
          <w:spacing w:val="-3"/>
        </w:rPr>
        <w:t xml:space="preserve"> </w:t>
      </w:r>
      <w:r>
        <w:t>of</w:t>
      </w:r>
      <w:r>
        <w:rPr>
          <w:spacing w:val="-2"/>
        </w:rPr>
        <w:t xml:space="preserve"> </w:t>
      </w:r>
      <w:r>
        <w:t>Part</w:t>
      </w:r>
      <w:r>
        <w:rPr>
          <w:spacing w:val="-3"/>
        </w:rPr>
        <w:t xml:space="preserve"> </w:t>
      </w:r>
      <w:r>
        <w:t>C</w:t>
      </w:r>
      <w:r>
        <w:rPr>
          <w:spacing w:val="-4"/>
        </w:rPr>
        <w:t xml:space="preserve"> </w:t>
      </w:r>
      <w:r>
        <w:t>Section</w:t>
      </w:r>
      <w:r>
        <w:rPr>
          <w:spacing w:val="-2"/>
        </w:rPr>
        <w:t xml:space="preserve"> </w:t>
      </w:r>
      <w:r>
        <w:t>3.1.3.2</w:t>
      </w:r>
      <w:r>
        <w:rPr>
          <w:spacing w:val="-2"/>
        </w:rPr>
        <w:t xml:space="preserve"> </w:t>
      </w:r>
      <w:r>
        <w:t>as</w:t>
      </w:r>
      <w:r>
        <w:rPr>
          <w:spacing w:val="-3"/>
        </w:rPr>
        <w:t xml:space="preserve"> </w:t>
      </w:r>
      <w:r>
        <w:t>the proposal</w:t>
      </w:r>
      <w:r>
        <w:rPr>
          <w:spacing w:val="-4"/>
        </w:rPr>
        <w:t xml:space="preserve"> </w:t>
      </w:r>
      <w:r>
        <w:t>fails</w:t>
      </w:r>
      <w:r>
        <w:rPr>
          <w:spacing w:val="-3"/>
        </w:rPr>
        <w:t xml:space="preserve"> </w:t>
      </w:r>
      <w:r>
        <w:t>to</w:t>
      </w:r>
      <w:r>
        <w:rPr>
          <w:spacing w:val="-3"/>
        </w:rPr>
        <w:t xml:space="preserve"> </w:t>
      </w:r>
      <w:r>
        <w:t>provide</w:t>
      </w:r>
      <w:r>
        <w:rPr>
          <w:spacing w:val="-6"/>
        </w:rPr>
        <w:t xml:space="preserve"> </w:t>
      </w:r>
      <w:r>
        <w:t>a</w:t>
      </w:r>
      <w:r>
        <w:rPr>
          <w:spacing w:val="-3"/>
        </w:rPr>
        <w:t xml:space="preserve"> </w:t>
      </w:r>
      <w:r>
        <w:t>suitable</w:t>
      </w:r>
      <w:r>
        <w:rPr>
          <w:spacing w:val="-3"/>
        </w:rPr>
        <w:t xml:space="preserve"> </w:t>
      </w:r>
      <w:r>
        <w:t>eastern</w:t>
      </w:r>
      <w:r>
        <w:rPr>
          <w:spacing w:val="-3"/>
        </w:rPr>
        <w:t xml:space="preserve"> </w:t>
      </w:r>
      <w:r>
        <w:t>side</w:t>
      </w:r>
      <w:r>
        <w:rPr>
          <w:spacing w:val="-3"/>
        </w:rPr>
        <w:t xml:space="preserve"> </w:t>
      </w:r>
      <w:r>
        <w:t>setback</w:t>
      </w:r>
      <w:r>
        <w:rPr>
          <w:spacing w:val="-3"/>
        </w:rPr>
        <w:t xml:space="preserve"> </w:t>
      </w:r>
      <w:r>
        <w:t>at</w:t>
      </w:r>
      <w:r>
        <w:rPr>
          <w:spacing w:val="-2"/>
        </w:rPr>
        <w:t xml:space="preserve"> </w:t>
      </w:r>
      <w:r>
        <w:t>the</w:t>
      </w:r>
      <w:r>
        <w:rPr>
          <w:spacing w:val="-6"/>
        </w:rPr>
        <w:t xml:space="preserve"> </w:t>
      </w:r>
      <w:r>
        <w:t>upper</w:t>
      </w:r>
      <w:r>
        <w:rPr>
          <w:spacing w:val="-2"/>
        </w:rPr>
        <w:t xml:space="preserve"> </w:t>
      </w:r>
      <w:r>
        <w:t>levels</w:t>
      </w:r>
      <w:r>
        <w:rPr>
          <w:spacing w:val="-3"/>
        </w:rPr>
        <w:t xml:space="preserve"> </w:t>
      </w:r>
      <w:r>
        <w:t>to</w:t>
      </w:r>
      <w:r>
        <w:rPr>
          <w:spacing w:val="-3"/>
        </w:rPr>
        <w:t xml:space="preserve"> </w:t>
      </w:r>
      <w:r>
        <w:t>afford daylight and ventilation between buildings.</w:t>
      </w:r>
    </w:p>
    <w:p w14:paraId="28CB3BF1" w14:textId="77777777" w:rsidR="00AF7C7A" w:rsidRDefault="00AF7C7A">
      <w:pPr>
        <w:pStyle w:val="BodyText"/>
        <w:spacing w:before="1"/>
      </w:pPr>
    </w:p>
    <w:p w14:paraId="28CB3BF2" w14:textId="77777777" w:rsidR="00AF7C7A" w:rsidRDefault="00B70796">
      <w:pPr>
        <w:pStyle w:val="ListParagraph"/>
        <w:numPr>
          <w:ilvl w:val="1"/>
          <w:numId w:val="1"/>
        </w:numPr>
        <w:tabs>
          <w:tab w:val="left" w:pos="1019"/>
          <w:tab w:val="left" w:pos="1026"/>
        </w:tabs>
        <w:spacing w:before="1"/>
        <w:ind w:left="1026" w:right="109" w:hanging="569"/>
        <w:jc w:val="both"/>
      </w:pPr>
      <w:r>
        <w:t>The eastern side setback is not in accordance with Part C Section 3.1.3.5 - O1, 02, 03, 05, 06, 07, P1, P2 and Figure C-3.1-5.</w:t>
      </w:r>
    </w:p>
    <w:p w14:paraId="28CB3BF3" w14:textId="77777777" w:rsidR="00AF7C7A" w:rsidRDefault="00AF7C7A">
      <w:pPr>
        <w:pStyle w:val="BodyText"/>
        <w:spacing w:before="251"/>
      </w:pPr>
    </w:p>
    <w:p w14:paraId="28CB3BF4" w14:textId="77777777" w:rsidR="00AF7C7A" w:rsidRDefault="00B70796">
      <w:pPr>
        <w:pStyle w:val="ListParagraph"/>
        <w:numPr>
          <w:ilvl w:val="0"/>
          <w:numId w:val="1"/>
        </w:numPr>
        <w:tabs>
          <w:tab w:val="left" w:pos="456"/>
          <w:tab w:val="left" w:pos="460"/>
        </w:tabs>
        <w:ind w:right="237" w:hanging="360"/>
        <w:jc w:val="both"/>
      </w:pPr>
      <w:r>
        <w:t>The proposed development is considered unacceptable pursuant to the provisions of s4.15(1)(a)(iii) of the Environmental</w:t>
      </w:r>
      <w:r>
        <w:rPr>
          <w:spacing w:val="-2"/>
        </w:rPr>
        <w:t xml:space="preserve"> </w:t>
      </w:r>
      <w:r>
        <w:t>Planning and</w:t>
      </w:r>
      <w:r>
        <w:rPr>
          <w:spacing w:val="-16"/>
        </w:rPr>
        <w:t xml:space="preserve"> </w:t>
      </w:r>
      <w:r>
        <w:t>Assessment</w:t>
      </w:r>
      <w:r>
        <w:rPr>
          <w:spacing w:val="-10"/>
        </w:rPr>
        <w:t xml:space="preserve"> </w:t>
      </w:r>
      <w:r>
        <w:t>Act 1979</w:t>
      </w:r>
      <w:r>
        <w:rPr>
          <w:spacing w:val="-2"/>
        </w:rPr>
        <w:t xml:space="preserve"> </w:t>
      </w:r>
      <w:r>
        <w:t>as</w:t>
      </w:r>
      <w:r>
        <w:rPr>
          <w:spacing w:val="-4"/>
        </w:rPr>
        <w:t xml:space="preserve"> </w:t>
      </w:r>
      <w:r>
        <w:t>the</w:t>
      </w:r>
      <w:r>
        <w:rPr>
          <w:spacing w:val="-2"/>
        </w:rPr>
        <w:t xml:space="preserve"> </w:t>
      </w:r>
      <w:r>
        <w:t>proposal is inconsistent with</w:t>
      </w:r>
      <w:r>
        <w:rPr>
          <w:spacing w:val="-3"/>
        </w:rPr>
        <w:t xml:space="preserve"> </w:t>
      </w:r>
      <w:r>
        <w:t>the</w:t>
      </w:r>
      <w:r>
        <w:rPr>
          <w:spacing w:val="-4"/>
        </w:rPr>
        <w:t xml:space="preserve"> </w:t>
      </w:r>
      <w:r>
        <w:t>relevant</w:t>
      </w:r>
      <w:r>
        <w:rPr>
          <w:spacing w:val="-13"/>
        </w:rPr>
        <w:t xml:space="preserve"> </w:t>
      </w:r>
      <w:r>
        <w:t>Australian Standards</w:t>
      </w:r>
      <w:r>
        <w:rPr>
          <w:spacing w:val="-3"/>
        </w:rPr>
        <w:t xml:space="preserve"> </w:t>
      </w:r>
      <w:r>
        <w:t>for</w:t>
      </w:r>
      <w:r>
        <w:rPr>
          <w:spacing w:val="-3"/>
        </w:rPr>
        <w:t xml:space="preserve"> </w:t>
      </w:r>
      <w:r>
        <w:t>car</w:t>
      </w:r>
      <w:r>
        <w:rPr>
          <w:spacing w:val="-1"/>
        </w:rPr>
        <w:t xml:space="preserve"> </w:t>
      </w:r>
      <w:r>
        <w:t>parking and</w:t>
      </w:r>
      <w:r>
        <w:rPr>
          <w:spacing w:val="-6"/>
        </w:rPr>
        <w:t xml:space="preserve"> </w:t>
      </w:r>
      <w:r>
        <w:t>service vehicle facilities and does not comply with the NSDCP 2013 Part B, Section 10 in that:</w:t>
      </w:r>
    </w:p>
    <w:p w14:paraId="28CB3BF5" w14:textId="77777777" w:rsidR="00AF7C7A" w:rsidRDefault="00AF7C7A">
      <w:pPr>
        <w:pStyle w:val="BodyText"/>
      </w:pPr>
    </w:p>
    <w:p w14:paraId="28CB3BF6" w14:textId="77777777" w:rsidR="00AF7C7A" w:rsidRDefault="00AF7C7A">
      <w:pPr>
        <w:pStyle w:val="BodyText"/>
        <w:spacing w:before="4"/>
      </w:pPr>
    </w:p>
    <w:p w14:paraId="28CB3BF7" w14:textId="77777777" w:rsidR="00AF7C7A" w:rsidRDefault="00B70796">
      <w:pPr>
        <w:pStyle w:val="ListParagraph"/>
        <w:numPr>
          <w:ilvl w:val="1"/>
          <w:numId w:val="1"/>
        </w:numPr>
        <w:tabs>
          <w:tab w:val="left" w:pos="984"/>
          <w:tab w:val="left" w:pos="988"/>
        </w:tabs>
        <w:ind w:left="988" w:right="108" w:hanging="569"/>
        <w:jc w:val="both"/>
      </w:pPr>
      <w:r>
        <w:t>The</w:t>
      </w:r>
      <w:r>
        <w:rPr>
          <w:spacing w:val="-11"/>
        </w:rPr>
        <w:t xml:space="preserve"> </w:t>
      </w:r>
      <w:r>
        <w:t>number</w:t>
      </w:r>
      <w:r>
        <w:rPr>
          <w:spacing w:val="-9"/>
        </w:rPr>
        <w:t xml:space="preserve"> </w:t>
      </w:r>
      <w:r>
        <w:t>proposed</w:t>
      </w:r>
      <w:r>
        <w:rPr>
          <w:spacing w:val="-11"/>
        </w:rPr>
        <w:t xml:space="preserve"> </w:t>
      </w:r>
      <w:r>
        <w:t>accessible</w:t>
      </w:r>
      <w:r>
        <w:rPr>
          <w:spacing w:val="-11"/>
        </w:rPr>
        <w:t xml:space="preserve"> </w:t>
      </w:r>
      <w:r>
        <w:t>car</w:t>
      </w:r>
      <w:r>
        <w:rPr>
          <w:spacing w:val="-10"/>
        </w:rPr>
        <w:t xml:space="preserve"> </w:t>
      </w:r>
      <w:r>
        <w:t>parking</w:t>
      </w:r>
      <w:r>
        <w:rPr>
          <w:spacing w:val="-12"/>
        </w:rPr>
        <w:t xml:space="preserve"> </w:t>
      </w:r>
      <w:r>
        <w:t>spaces</w:t>
      </w:r>
      <w:r>
        <w:rPr>
          <w:spacing w:val="-11"/>
        </w:rPr>
        <w:t xml:space="preserve"> </w:t>
      </w:r>
      <w:r>
        <w:t>do</w:t>
      </w:r>
      <w:r>
        <w:rPr>
          <w:spacing w:val="-12"/>
        </w:rPr>
        <w:t xml:space="preserve"> </w:t>
      </w:r>
      <w:r>
        <w:t>not</w:t>
      </w:r>
      <w:r>
        <w:rPr>
          <w:spacing w:val="-10"/>
        </w:rPr>
        <w:t xml:space="preserve"> </w:t>
      </w:r>
      <w:r>
        <w:t>comply</w:t>
      </w:r>
      <w:r>
        <w:rPr>
          <w:spacing w:val="-11"/>
        </w:rPr>
        <w:t xml:space="preserve"> </w:t>
      </w:r>
      <w:r>
        <w:t>with</w:t>
      </w:r>
      <w:r>
        <w:rPr>
          <w:spacing w:val="-11"/>
        </w:rPr>
        <w:t xml:space="preserve"> </w:t>
      </w:r>
      <w:r>
        <w:t>the</w:t>
      </w:r>
      <w:r>
        <w:rPr>
          <w:spacing w:val="-14"/>
        </w:rPr>
        <w:t xml:space="preserve"> </w:t>
      </w:r>
      <w:r>
        <w:t xml:space="preserve">relevant </w:t>
      </w:r>
      <w:r>
        <w:rPr>
          <w:spacing w:val="-2"/>
        </w:rPr>
        <w:t>requirements</w:t>
      </w:r>
      <w:r>
        <w:rPr>
          <w:spacing w:val="-11"/>
        </w:rPr>
        <w:t xml:space="preserve"> </w:t>
      </w:r>
      <w:r>
        <w:rPr>
          <w:spacing w:val="-2"/>
        </w:rPr>
        <w:t>of</w:t>
      </w:r>
      <w:r>
        <w:rPr>
          <w:spacing w:val="-14"/>
        </w:rPr>
        <w:t xml:space="preserve"> </w:t>
      </w:r>
      <w:r>
        <w:rPr>
          <w:spacing w:val="-2"/>
        </w:rPr>
        <w:t>AS</w:t>
      </w:r>
      <w:r>
        <w:rPr>
          <w:spacing w:val="-8"/>
        </w:rPr>
        <w:t xml:space="preserve"> </w:t>
      </w:r>
      <w:r>
        <w:rPr>
          <w:spacing w:val="-2"/>
        </w:rPr>
        <w:t>2890.6-2022</w:t>
      </w:r>
      <w:r>
        <w:rPr>
          <w:spacing w:val="-7"/>
        </w:rPr>
        <w:t xml:space="preserve"> </w:t>
      </w:r>
      <w:r>
        <w:rPr>
          <w:spacing w:val="-2"/>
        </w:rPr>
        <w:t>and</w:t>
      </w:r>
      <w:r>
        <w:rPr>
          <w:spacing w:val="-7"/>
        </w:rPr>
        <w:t xml:space="preserve"> </w:t>
      </w:r>
      <w:r>
        <w:rPr>
          <w:spacing w:val="-2"/>
        </w:rPr>
        <w:t>Clause</w:t>
      </w:r>
      <w:r>
        <w:rPr>
          <w:spacing w:val="-7"/>
        </w:rPr>
        <w:t xml:space="preserve"> </w:t>
      </w:r>
      <w:r>
        <w:rPr>
          <w:spacing w:val="-2"/>
        </w:rPr>
        <w:t>10.3</w:t>
      </w:r>
      <w:r>
        <w:rPr>
          <w:spacing w:val="-11"/>
        </w:rPr>
        <w:t xml:space="preserve"> </w:t>
      </w:r>
      <w:r>
        <w:rPr>
          <w:spacing w:val="-2"/>
        </w:rPr>
        <w:t>of</w:t>
      </w:r>
      <w:r>
        <w:rPr>
          <w:spacing w:val="-6"/>
        </w:rPr>
        <w:t xml:space="preserve"> </w:t>
      </w:r>
      <w:r>
        <w:rPr>
          <w:spacing w:val="-2"/>
        </w:rPr>
        <w:t>the</w:t>
      </w:r>
      <w:r>
        <w:rPr>
          <w:spacing w:val="-11"/>
        </w:rPr>
        <w:t xml:space="preserve"> </w:t>
      </w:r>
      <w:r>
        <w:rPr>
          <w:spacing w:val="-2"/>
        </w:rPr>
        <w:t>NSDCP</w:t>
      </w:r>
      <w:r>
        <w:rPr>
          <w:spacing w:val="-11"/>
        </w:rPr>
        <w:t xml:space="preserve"> </w:t>
      </w:r>
      <w:r>
        <w:rPr>
          <w:spacing w:val="-2"/>
        </w:rPr>
        <w:t>2013</w:t>
      </w:r>
      <w:r>
        <w:rPr>
          <w:spacing w:val="-7"/>
        </w:rPr>
        <w:t xml:space="preserve"> </w:t>
      </w:r>
      <w:r>
        <w:rPr>
          <w:spacing w:val="-2"/>
        </w:rPr>
        <w:t>Part</w:t>
      </w:r>
      <w:r>
        <w:rPr>
          <w:spacing w:val="-9"/>
        </w:rPr>
        <w:t xml:space="preserve"> </w:t>
      </w:r>
      <w:r>
        <w:rPr>
          <w:spacing w:val="-2"/>
        </w:rPr>
        <w:t>B,</w:t>
      </w:r>
      <w:r>
        <w:rPr>
          <w:spacing w:val="-4"/>
        </w:rPr>
        <w:t xml:space="preserve"> </w:t>
      </w:r>
      <w:r>
        <w:rPr>
          <w:spacing w:val="-2"/>
        </w:rPr>
        <w:t xml:space="preserve">Section </w:t>
      </w:r>
      <w:r>
        <w:rPr>
          <w:spacing w:val="-4"/>
        </w:rPr>
        <w:t>10.</w:t>
      </w:r>
    </w:p>
    <w:p w14:paraId="28CB3BF8" w14:textId="77777777" w:rsidR="00AF7C7A" w:rsidRDefault="00AF7C7A">
      <w:pPr>
        <w:pStyle w:val="BodyText"/>
        <w:spacing w:before="1"/>
      </w:pPr>
    </w:p>
    <w:p w14:paraId="28CB3BF9" w14:textId="77777777" w:rsidR="00AF7C7A" w:rsidRDefault="00B70796">
      <w:pPr>
        <w:pStyle w:val="ListParagraph"/>
        <w:numPr>
          <w:ilvl w:val="1"/>
          <w:numId w:val="1"/>
        </w:numPr>
        <w:tabs>
          <w:tab w:val="left" w:pos="984"/>
          <w:tab w:val="left" w:pos="988"/>
        </w:tabs>
        <w:ind w:left="988" w:right="105" w:hanging="569"/>
        <w:jc w:val="both"/>
      </w:pPr>
      <w:r>
        <w:t>The proposed development does not satisfactorily respond</w:t>
      </w:r>
      <w:r>
        <w:rPr>
          <w:spacing w:val="-2"/>
        </w:rPr>
        <w:t xml:space="preserve"> </w:t>
      </w:r>
      <w:r>
        <w:t>to Part B Section 10.4 – loading and servicing facilities.</w:t>
      </w:r>
    </w:p>
    <w:p w14:paraId="28CB3BFA" w14:textId="77777777" w:rsidR="00AF7C7A" w:rsidRDefault="00AF7C7A">
      <w:pPr>
        <w:jc w:val="both"/>
        <w:sectPr w:rsidR="00AF7C7A">
          <w:pgSz w:w="11920" w:h="16850"/>
          <w:pgMar w:top="1260" w:right="1320" w:bottom="280" w:left="1340" w:header="720" w:footer="720" w:gutter="0"/>
          <w:cols w:space="720"/>
        </w:sectPr>
      </w:pPr>
    </w:p>
    <w:p w14:paraId="28CB3BFB" w14:textId="77777777" w:rsidR="00AF7C7A" w:rsidRDefault="00B70796">
      <w:pPr>
        <w:pStyle w:val="ListParagraph"/>
        <w:numPr>
          <w:ilvl w:val="0"/>
          <w:numId w:val="1"/>
        </w:numPr>
        <w:tabs>
          <w:tab w:val="left" w:pos="456"/>
          <w:tab w:val="left" w:pos="460"/>
        </w:tabs>
        <w:spacing w:before="78"/>
        <w:ind w:right="254" w:hanging="360"/>
        <w:jc w:val="both"/>
      </w:pPr>
      <w:r>
        <w:lastRenderedPageBreak/>
        <w:t>The proposed development is considered unacceptable pursuant to the provisions of s4.15(1)(a)(iii) of</w:t>
      </w:r>
      <w:r>
        <w:rPr>
          <w:spacing w:val="-1"/>
        </w:rPr>
        <w:t xml:space="preserve"> </w:t>
      </w:r>
      <w:r>
        <w:t>the</w:t>
      </w:r>
      <w:r>
        <w:rPr>
          <w:spacing w:val="-3"/>
        </w:rPr>
        <w:t xml:space="preserve"> </w:t>
      </w:r>
      <w:r>
        <w:t>Environmental</w:t>
      </w:r>
      <w:r>
        <w:rPr>
          <w:spacing w:val="-5"/>
        </w:rPr>
        <w:t xml:space="preserve"> </w:t>
      </w:r>
      <w:r>
        <w:t>Planning and</w:t>
      </w:r>
      <w:r>
        <w:rPr>
          <w:spacing w:val="-16"/>
        </w:rPr>
        <w:t xml:space="preserve"> </w:t>
      </w:r>
      <w:r>
        <w:t>Assessment</w:t>
      </w:r>
      <w:r>
        <w:rPr>
          <w:spacing w:val="-11"/>
        </w:rPr>
        <w:t xml:space="preserve"> </w:t>
      </w:r>
      <w:r>
        <w:t>Act 1979</w:t>
      </w:r>
      <w:r>
        <w:rPr>
          <w:spacing w:val="-5"/>
        </w:rPr>
        <w:t xml:space="preserve"> </w:t>
      </w:r>
      <w:r>
        <w:t>as</w:t>
      </w:r>
      <w:r>
        <w:rPr>
          <w:spacing w:val="-5"/>
        </w:rPr>
        <w:t xml:space="preserve"> </w:t>
      </w:r>
      <w:r>
        <w:t>the</w:t>
      </w:r>
      <w:r>
        <w:rPr>
          <w:spacing w:val="-5"/>
        </w:rPr>
        <w:t xml:space="preserve"> </w:t>
      </w:r>
      <w:r>
        <w:t>proposal is inconsistent with the waste management objectives and requirements of Section 19 Waste Minimisation and Management of the North Sydney Development Control Plan 2013 in that the proposed waste management arrangements are unacceptable and do not adequately demonstrate compliance with the requirements including:</w:t>
      </w:r>
    </w:p>
    <w:p w14:paraId="28CB3BFC" w14:textId="77777777" w:rsidR="00AF7C7A" w:rsidRDefault="00AF7C7A">
      <w:pPr>
        <w:pStyle w:val="BodyText"/>
        <w:spacing w:before="82"/>
      </w:pPr>
    </w:p>
    <w:p w14:paraId="28CB3BFD" w14:textId="77777777" w:rsidR="00AF7C7A" w:rsidRDefault="00B70796">
      <w:pPr>
        <w:pStyle w:val="ListParagraph"/>
        <w:numPr>
          <w:ilvl w:val="1"/>
          <w:numId w:val="1"/>
        </w:numPr>
        <w:tabs>
          <w:tab w:val="left" w:pos="1022"/>
          <w:tab w:val="left" w:pos="1026"/>
        </w:tabs>
        <w:ind w:left="1026" w:right="110" w:hanging="569"/>
        <w:jc w:val="both"/>
      </w:pPr>
      <w:r>
        <w:t>A temporary bin holding area for the residential waste bins has not been provided for</w:t>
      </w:r>
      <w:r>
        <w:rPr>
          <w:spacing w:val="-5"/>
        </w:rPr>
        <w:t xml:space="preserve"> </w:t>
      </w:r>
      <w:r>
        <w:t>collection</w:t>
      </w:r>
      <w:r>
        <w:rPr>
          <w:spacing w:val="-3"/>
        </w:rPr>
        <w:t xml:space="preserve"> </w:t>
      </w:r>
      <w:r>
        <w:t>of</w:t>
      </w:r>
      <w:r>
        <w:rPr>
          <w:spacing w:val="-3"/>
        </w:rPr>
        <w:t xml:space="preserve"> </w:t>
      </w:r>
      <w:r>
        <w:t>garbage</w:t>
      </w:r>
      <w:r>
        <w:rPr>
          <w:spacing w:val="-11"/>
        </w:rPr>
        <w:t xml:space="preserve"> </w:t>
      </w:r>
      <w:r>
        <w:t>and</w:t>
      </w:r>
      <w:r>
        <w:rPr>
          <w:spacing w:val="-4"/>
        </w:rPr>
        <w:t xml:space="preserve"> </w:t>
      </w:r>
      <w:r>
        <w:t>recycling</w:t>
      </w:r>
      <w:r>
        <w:rPr>
          <w:spacing w:val="-4"/>
        </w:rPr>
        <w:t xml:space="preserve"> </w:t>
      </w:r>
      <w:r>
        <w:t>bins</w:t>
      </w:r>
      <w:r>
        <w:rPr>
          <w:spacing w:val="-4"/>
        </w:rPr>
        <w:t xml:space="preserve"> </w:t>
      </w:r>
      <w:r>
        <w:t>that</w:t>
      </w:r>
      <w:r>
        <w:rPr>
          <w:spacing w:val="-2"/>
        </w:rPr>
        <w:t xml:space="preserve"> </w:t>
      </w:r>
      <w:r>
        <w:t>is</w:t>
      </w:r>
      <w:r>
        <w:rPr>
          <w:spacing w:val="-8"/>
        </w:rPr>
        <w:t xml:space="preserve"> </w:t>
      </w:r>
      <w:r>
        <w:t>of</w:t>
      </w:r>
      <w:r>
        <w:rPr>
          <w:spacing w:val="-3"/>
        </w:rPr>
        <w:t xml:space="preserve"> </w:t>
      </w:r>
      <w:r>
        <w:t>sufficient</w:t>
      </w:r>
      <w:r>
        <w:rPr>
          <w:spacing w:val="-2"/>
        </w:rPr>
        <w:t xml:space="preserve"> </w:t>
      </w:r>
      <w:r>
        <w:t>size</w:t>
      </w:r>
      <w:r>
        <w:rPr>
          <w:spacing w:val="-6"/>
        </w:rPr>
        <w:t xml:space="preserve"> </w:t>
      </w:r>
      <w:r>
        <w:t>to</w:t>
      </w:r>
      <w:r>
        <w:rPr>
          <w:spacing w:val="-4"/>
        </w:rPr>
        <w:t xml:space="preserve"> </w:t>
      </w:r>
      <w:r>
        <w:t>accommodate the</w:t>
      </w:r>
      <w:r>
        <w:rPr>
          <w:spacing w:val="-3"/>
        </w:rPr>
        <w:t xml:space="preserve"> </w:t>
      </w:r>
      <w:r>
        <w:t>required</w:t>
      </w:r>
      <w:r>
        <w:rPr>
          <w:spacing w:val="-2"/>
        </w:rPr>
        <w:t xml:space="preserve"> </w:t>
      </w:r>
      <w:r>
        <w:t>garbage</w:t>
      </w:r>
      <w:r>
        <w:rPr>
          <w:spacing w:val="-3"/>
        </w:rPr>
        <w:t xml:space="preserve"> </w:t>
      </w:r>
      <w:r>
        <w:t>and</w:t>
      </w:r>
      <w:r>
        <w:rPr>
          <w:spacing w:val="-3"/>
        </w:rPr>
        <w:t xml:space="preserve"> </w:t>
      </w:r>
      <w:r>
        <w:t>recycling</w:t>
      </w:r>
      <w:r>
        <w:rPr>
          <w:spacing w:val="-3"/>
        </w:rPr>
        <w:t xml:space="preserve"> </w:t>
      </w:r>
      <w:r>
        <w:t>bins</w:t>
      </w:r>
      <w:r>
        <w:rPr>
          <w:spacing w:val="-3"/>
        </w:rPr>
        <w:t xml:space="preserve"> </w:t>
      </w:r>
      <w:r>
        <w:t>is</w:t>
      </w:r>
      <w:r>
        <w:rPr>
          <w:spacing w:val="-3"/>
        </w:rPr>
        <w:t xml:space="preserve"> </w:t>
      </w:r>
      <w:r>
        <w:t>required</w:t>
      </w:r>
      <w:r>
        <w:rPr>
          <w:spacing w:val="-3"/>
        </w:rPr>
        <w:t xml:space="preserve"> </w:t>
      </w:r>
      <w:r>
        <w:t>to</w:t>
      </w:r>
      <w:r>
        <w:rPr>
          <w:spacing w:val="-3"/>
        </w:rPr>
        <w:t xml:space="preserve"> </w:t>
      </w:r>
      <w:r>
        <w:t>be</w:t>
      </w:r>
      <w:r>
        <w:rPr>
          <w:spacing w:val="-2"/>
        </w:rPr>
        <w:t xml:space="preserve"> </w:t>
      </w:r>
      <w:r>
        <w:t>provided</w:t>
      </w:r>
      <w:r>
        <w:rPr>
          <w:spacing w:val="-3"/>
        </w:rPr>
        <w:t xml:space="preserve"> </w:t>
      </w:r>
      <w:r>
        <w:t>off</w:t>
      </w:r>
      <w:r>
        <w:rPr>
          <w:spacing w:val="-2"/>
        </w:rPr>
        <w:t xml:space="preserve"> </w:t>
      </w:r>
      <w:r>
        <w:t>the</w:t>
      </w:r>
      <w:r>
        <w:rPr>
          <w:spacing w:val="-8"/>
        </w:rPr>
        <w:t xml:space="preserve"> </w:t>
      </w:r>
      <w:r>
        <w:t>street and within 2 metres of the street alignment.</w:t>
      </w:r>
    </w:p>
    <w:p w14:paraId="28CB3BFE" w14:textId="472B4534" w:rsidR="00AF7C7A" w:rsidRDefault="00AF7C7A" w:rsidP="00812E89">
      <w:pPr>
        <w:pStyle w:val="ListParagraph"/>
        <w:tabs>
          <w:tab w:val="left" w:pos="727"/>
        </w:tabs>
        <w:spacing w:before="83" w:line="252" w:lineRule="exact"/>
        <w:ind w:left="727" w:firstLine="0"/>
        <w:jc w:val="left"/>
      </w:pPr>
    </w:p>
    <w:p w14:paraId="28CB3BFF" w14:textId="77777777" w:rsidR="00AF7C7A" w:rsidRDefault="00B70796">
      <w:pPr>
        <w:pStyle w:val="ListParagraph"/>
        <w:numPr>
          <w:ilvl w:val="1"/>
          <w:numId w:val="1"/>
        </w:numPr>
        <w:tabs>
          <w:tab w:val="left" w:pos="1024"/>
          <w:tab w:val="left" w:pos="1026"/>
        </w:tabs>
        <w:ind w:left="1026" w:right="110" w:hanging="569"/>
      </w:pPr>
      <w:r>
        <w:t>It has not been demonstrated that the proposed on-site loading bay arrangements are capable of accommodating Council’s waste collection vehicle.</w:t>
      </w:r>
    </w:p>
    <w:p w14:paraId="28CB3C00" w14:textId="77777777" w:rsidR="00AF7C7A" w:rsidRDefault="00B70796">
      <w:pPr>
        <w:pStyle w:val="ListParagraph"/>
        <w:numPr>
          <w:ilvl w:val="0"/>
          <w:numId w:val="1"/>
        </w:numPr>
        <w:tabs>
          <w:tab w:val="left" w:pos="456"/>
          <w:tab w:val="left" w:pos="460"/>
        </w:tabs>
        <w:spacing w:before="253"/>
        <w:ind w:right="307" w:hanging="360"/>
        <w:jc w:val="both"/>
      </w:pPr>
      <w:r>
        <w:t>The proposal is</w:t>
      </w:r>
      <w:r>
        <w:rPr>
          <w:spacing w:val="-1"/>
        </w:rPr>
        <w:t xml:space="preserve"> </w:t>
      </w:r>
      <w:r>
        <w:t>unsatisfactory</w:t>
      </w:r>
      <w:r>
        <w:rPr>
          <w:spacing w:val="-3"/>
        </w:rPr>
        <w:t xml:space="preserve"> </w:t>
      </w:r>
      <w:r>
        <w:t>having</w:t>
      </w:r>
      <w:r>
        <w:rPr>
          <w:spacing w:val="-4"/>
        </w:rPr>
        <w:t xml:space="preserve"> </w:t>
      </w:r>
      <w:r>
        <w:t>regard</w:t>
      </w:r>
      <w:r>
        <w:rPr>
          <w:spacing w:val="-3"/>
        </w:rPr>
        <w:t xml:space="preserve"> </w:t>
      </w:r>
      <w:r>
        <w:t>to</w:t>
      </w:r>
      <w:r>
        <w:rPr>
          <w:spacing w:val="-4"/>
        </w:rPr>
        <w:t xml:space="preserve"> </w:t>
      </w:r>
      <w:r>
        <w:t>Section 4.15(1)(b) of</w:t>
      </w:r>
      <w:r>
        <w:rPr>
          <w:spacing w:val="-5"/>
        </w:rPr>
        <w:t xml:space="preserve"> </w:t>
      </w:r>
      <w:r>
        <w:t>the</w:t>
      </w:r>
      <w:r>
        <w:rPr>
          <w:spacing w:val="-2"/>
        </w:rPr>
        <w:t xml:space="preserve"> </w:t>
      </w:r>
      <w:r>
        <w:t>Environmental Planning and Assessment Act 1979 as the development will cause adverse impacts upon the built environment with respect to the impact upon the surrounding properties.</w:t>
      </w:r>
    </w:p>
    <w:p w14:paraId="28CB3C01" w14:textId="77777777" w:rsidR="00AF7C7A" w:rsidRDefault="00AF7C7A">
      <w:pPr>
        <w:pStyle w:val="BodyText"/>
      </w:pPr>
    </w:p>
    <w:p w14:paraId="28CB3C02" w14:textId="77777777" w:rsidR="00AF7C7A" w:rsidRDefault="00B70796">
      <w:pPr>
        <w:pStyle w:val="ListParagraph"/>
        <w:numPr>
          <w:ilvl w:val="0"/>
          <w:numId w:val="1"/>
        </w:numPr>
        <w:tabs>
          <w:tab w:val="left" w:pos="456"/>
          <w:tab w:val="left" w:pos="460"/>
        </w:tabs>
        <w:ind w:right="276" w:hanging="360"/>
        <w:jc w:val="both"/>
      </w:pPr>
      <w:r>
        <w:t>The proposed development is unsatisfactory having regard to Section 4.15(1)(c) of the Environmental</w:t>
      </w:r>
      <w:r>
        <w:rPr>
          <w:spacing w:val="-6"/>
        </w:rPr>
        <w:t xml:space="preserve"> </w:t>
      </w:r>
      <w:r>
        <w:t>Planning</w:t>
      </w:r>
      <w:r>
        <w:rPr>
          <w:spacing w:val="-2"/>
        </w:rPr>
        <w:t xml:space="preserve"> </w:t>
      </w:r>
      <w:r>
        <w:t>and Assessment</w:t>
      </w:r>
      <w:r>
        <w:rPr>
          <w:spacing w:val="-1"/>
        </w:rPr>
        <w:t xml:space="preserve"> </w:t>
      </w:r>
      <w:r>
        <w:t>Act</w:t>
      </w:r>
      <w:r>
        <w:rPr>
          <w:spacing w:val="-1"/>
        </w:rPr>
        <w:t xml:space="preserve"> </w:t>
      </w:r>
      <w:r>
        <w:t>1979 in</w:t>
      </w:r>
      <w:r>
        <w:rPr>
          <w:spacing w:val="-3"/>
        </w:rPr>
        <w:t xml:space="preserve"> </w:t>
      </w:r>
      <w:r>
        <w:t>that</w:t>
      </w:r>
      <w:r>
        <w:rPr>
          <w:spacing w:val="-3"/>
        </w:rPr>
        <w:t xml:space="preserve"> </w:t>
      </w:r>
      <w:r>
        <w:t>the proposed</w:t>
      </w:r>
      <w:r>
        <w:rPr>
          <w:spacing w:val="-5"/>
        </w:rPr>
        <w:t xml:space="preserve"> </w:t>
      </w:r>
      <w:r>
        <w:t>development</w:t>
      </w:r>
      <w:r>
        <w:rPr>
          <w:spacing w:val="-1"/>
        </w:rPr>
        <w:t xml:space="preserve"> </w:t>
      </w:r>
      <w:r>
        <w:t>in its current form is not suitable for the site.</w:t>
      </w:r>
    </w:p>
    <w:p w14:paraId="28CB3C03" w14:textId="77777777" w:rsidR="00AF7C7A" w:rsidRDefault="00AF7C7A">
      <w:pPr>
        <w:pStyle w:val="BodyText"/>
        <w:spacing w:before="1"/>
      </w:pPr>
    </w:p>
    <w:p w14:paraId="28CB3C04" w14:textId="77777777" w:rsidR="00AF7C7A" w:rsidRDefault="00B70796">
      <w:pPr>
        <w:pStyle w:val="ListParagraph"/>
        <w:numPr>
          <w:ilvl w:val="0"/>
          <w:numId w:val="1"/>
        </w:numPr>
        <w:tabs>
          <w:tab w:val="left" w:pos="456"/>
          <w:tab w:val="left" w:pos="460"/>
        </w:tabs>
        <w:ind w:right="132" w:hanging="360"/>
        <w:jc w:val="both"/>
      </w:pPr>
      <w:r>
        <w:t>The proposed development is considered unacceptable pursuant to the provisions of Section 4.15(1) (e) of the Environmental Planning and Assessment Act 1979 as the proposal in its current form given its siting, location, design, bulk and scale and</w:t>
      </w:r>
      <w:r>
        <w:rPr>
          <w:spacing w:val="-2"/>
        </w:rPr>
        <w:t xml:space="preserve"> </w:t>
      </w:r>
      <w:r>
        <w:t>massing, is</w:t>
      </w:r>
      <w:r>
        <w:rPr>
          <w:spacing w:val="-15"/>
        </w:rPr>
        <w:t xml:space="preserve"> </w:t>
      </w:r>
      <w:r>
        <w:t>not</w:t>
      </w:r>
      <w:r>
        <w:rPr>
          <w:spacing w:val="-15"/>
        </w:rPr>
        <w:t xml:space="preserve"> </w:t>
      </w:r>
      <w:r>
        <w:t>in</w:t>
      </w:r>
      <w:r>
        <w:rPr>
          <w:spacing w:val="-16"/>
        </w:rPr>
        <w:t xml:space="preserve"> </w:t>
      </w:r>
      <w:r>
        <w:t>the</w:t>
      </w:r>
      <w:r>
        <w:rPr>
          <w:spacing w:val="-15"/>
        </w:rPr>
        <w:t xml:space="preserve"> </w:t>
      </w:r>
      <w:r>
        <w:t>public</w:t>
      </w:r>
      <w:r>
        <w:rPr>
          <w:spacing w:val="-12"/>
        </w:rPr>
        <w:t xml:space="preserve"> </w:t>
      </w:r>
      <w:r>
        <w:t>interest</w:t>
      </w:r>
      <w:r>
        <w:rPr>
          <w:spacing w:val="-12"/>
        </w:rPr>
        <w:t xml:space="preserve"> </w:t>
      </w:r>
      <w:r>
        <w:t>as</w:t>
      </w:r>
      <w:r>
        <w:rPr>
          <w:spacing w:val="-16"/>
        </w:rPr>
        <w:t xml:space="preserve"> </w:t>
      </w:r>
      <w:r>
        <w:t>it</w:t>
      </w:r>
      <w:r>
        <w:rPr>
          <w:spacing w:val="-14"/>
        </w:rPr>
        <w:t xml:space="preserve"> </w:t>
      </w:r>
      <w:r>
        <w:t>is</w:t>
      </w:r>
      <w:r>
        <w:rPr>
          <w:spacing w:val="-16"/>
        </w:rPr>
        <w:t xml:space="preserve"> </w:t>
      </w:r>
      <w:r>
        <w:t>inconsistent</w:t>
      </w:r>
      <w:r>
        <w:rPr>
          <w:spacing w:val="-11"/>
        </w:rPr>
        <w:t xml:space="preserve"> </w:t>
      </w:r>
      <w:r>
        <w:t>with</w:t>
      </w:r>
      <w:r>
        <w:rPr>
          <w:spacing w:val="-16"/>
        </w:rPr>
        <w:t xml:space="preserve"> </w:t>
      </w:r>
      <w:r>
        <w:t>the</w:t>
      </w:r>
      <w:r>
        <w:rPr>
          <w:spacing w:val="-15"/>
        </w:rPr>
        <w:t xml:space="preserve"> </w:t>
      </w:r>
      <w:r>
        <w:t>relevant</w:t>
      </w:r>
      <w:r>
        <w:rPr>
          <w:spacing w:val="-14"/>
        </w:rPr>
        <w:t xml:space="preserve"> </w:t>
      </w:r>
      <w:r>
        <w:t>planning</w:t>
      </w:r>
      <w:r>
        <w:rPr>
          <w:spacing w:val="-14"/>
        </w:rPr>
        <w:t xml:space="preserve"> </w:t>
      </w:r>
      <w:r>
        <w:t>controls</w:t>
      </w:r>
      <w:r>
        <w:rPr>
          <w:spacing w:val="-16"/>
        </w:rPr>
        <w:t xml:space="preserve"> </w:t>
      </w:r>
      <w:r>
        <w:t>in</w:t>
      </w:r>
      <w:r>
        <w:rPr>
          <w:spacing w:val="-15"/>
        </w:rPr>
        <w:t xml:space="preserve"> </w:t>
      </w:r>
      <w:r>
        <w:t>relation to the adverse impacts on the amenity of adjoining properties. The proposal also lacks good urban design and will negatively affect the character and nature of the neighbourhood. It is considered to be an inappropriate outcome for the site and will establish an undesirable precedent in the area which will not be in the public interest.</w:t>
      </w:r>
    </w:p>
    <w:sectPr w:rsidR="00AF7C7A">
      <w:pgSz w:w="11920" w:h="16850"/>
      <w:pgMar w:top="126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16F46"/>
    <w:multiLevelType w:val="hybridMultilevel"/>
    <w:tmpl w:val="4F1402DE"/>
    <w:lvl w:ilvl="0" w:tplc="751C3CCE">
      <w:start w:val="1"/>
      <w:numFmt w:val="decimal"/>
      <w:lvlText w:val="%1."/>
      <w:lvlJc w:val="left"/>
      <w:pPr>
        <w:ind w:left="460" w:hanging="358"/>
        <w:jc w:val="left"/>
      </w:pPr>
      <w:rPr>
        <w:rFonts w:ascii="Arial" w:eastAsia="Arial" w:hAnsi="Arial" w:cs="Arial" w:hint="default"/>
        <w:b w:val="0"/>
        <w:bCs w:val="0"/>
        <w:i w:val="0"/>
        <w:iCs w:val="0"/>
        <w:spacing w:val="-1"/>
        <w:w w:val="100"/>
        <w:sz w:val="22"/>
        <w:szCs w:val="22"/>
        <w:lang w:val="en-US" w:eastAsia="en-US" w:bidi="ar-SA"/>
      </w:rPr>
    </w:lvl>
    <w:lvl w:ilvl="1" w:tplc="360A85B2">
      <w:start w:val="1"/>
      <w:numFmt w:val="lowerLetter"/>
      <w:lvlText w:val="(%2)"/>
      <w:lvlJc w:val="left"/>
      <w:pPr>
        <w:ind w:left="1180" w:hanging="720"/>
        <w:jc w:val="left"/>
      </w:pPr>
      <w:rPr>
        <w:rFonts w:ascii="Arial" w:eastAsia="Arial" w:hAnsi="Arial" w:cs="Arial" w:hint="default"/>
        <w:b w:val="0"/>
        <w:bCs w:val="0"/>
        <w:i w:val="0"/>
        <w:iCs w:val="0"/>
        <w:spacing w:val="0"/>
        <w:w w:val="99"/>
        <w:sz w:val="22"/>
        <w:szCs w:val="22"/>
        <w:lang w:val="en-US" w:eastAsia="en-US" w:bidi="ar-SA"/>
      </w:rPr>
    </w:lvl>
    <w:lvl w:ilvl="2" w:tplc="7E54BE60">
      <w:numFmt w:val="bullet"/>
      <w:lvlText w:val="•"/>
      <w:lvlJc w:val="left"/>
      <w:pPr>
        <w:ind w:left="980" w:hanging="720"/>
      </w:pPr>
      <w:rPr>
        <w:rFonts w:hint="default"/>
        <w:lang w:val="en-US" w:eastAsia="en-US" w:bidi="ar-SA"/>
      </w:rPr>
    </w:lvl>
    <w:lvl w:ilvl="3" w:tplc="FD44B4D4">
      <w:numFmt w:val="bullet"/>
      <w:lvlText w:val="•"/>
      <w:lvlJc w:val="left"/>
      <w:pPr>
        <w:ind w:left="1020" w:hanging="720"/>
      </w:pPr>
      <w:rPr>
        <w:rFonts w:hint="default"/>
        <w:lang w:val="en-US" w:eastAsia="en-US" w:bidi="ar-SA"/>
      </w:rPr>
    </w:lvl>
    <w:lvl w:ilvl="4" w:tplc="D63C3BC2">
      <w:numFmt w:val="bullet"/>
      <w:lvlText w:val="•"/>
      <w:lvlJc w:val="left"/>
      <w:pPr>
        <w:ind w:left="1180" w:hanging="720"/>
      </w:pPr>
      <w:rPr>
        <w:rFonts w:hint="default"/>
        <w:lang w:val="en-US" w:eastAsia="en-US" w:bidi="ar-SA"/>
      </w:rPr>
    </w:lvl>
    <w:lvl w:ilvl="5" w:tplc="ED54565A">
      <w:numFmt w:val="bullet"/>
      <w:lvlText w:val="•"/>
      <w:lvlJc w:val="left"/>
      <w:pPr>
        <w:ind w:left="2525" w:hanging="720"/>
      </w:pPr>
      <w:rPr>
        <w:rFonts w:hint="default"/>
        <w:lang w:val="en-US" w:eastAsia="en-US" w:bidi="ar-SA"/>
      </w:rPr>
    </w:lvl>
    <w:lvl w:ilvl="6" w:tplc="28BAB9E2">
      <w:numFmt w:val="bullet"/>
      <w:lvlText w:val="•"/>
      <w:lvlJc w:val="left"/>
      <w:pPr>
        <w:ind w:left="3870" w:hanging="720"/>
      </w:pPr>
      <w:rPr>
        <w:rFonts w:hint="default"/>
        <w:lang w:val="en-US" w:eastAsia="en-US" w:bidi="ar-SA"/>
      </w:rPr>
    </w:lvl>
    <w:lvl w:ilvl="7" w:tplc="C23CF678">
      <w:numFmt w:val="bullet"/>
      <w:lvlText w:val="•"/>
      <w:lvlJc w:val="left"/>
      <w:pPr>
        <w:ind w:left="5215" w:hanging="720"/>
      </w:pPr>
      <w:rPr>
        <w:rFonts w:hint="default"/>
        <w:lang w:val="en-US" w:eastAsia="en-US" w:bidi="ar-SA"/>
      </w:rPr>
    </w:lvl>
    <w:lvl w:ilvl="8" w:tplc="0B46D414">
      <w:numFmt w:val="bullet"/>
      <w:lvlText w:val="•"/>
      <w:lvlJc w:val="left"/>
      <w:pPr>
        <w:ind w:left="6560" w:hanging="720"/>
      </w:pPr>
      <w:rPr>
        <w:rFonts w:hint="default"/>
        <w:lang w:val="en-US" w:eastAsia="en-US" w:bidi="ar-SA"/>
      </w:rPr>
    </w:lvl>
  </w:abstractNum>
  <w:num w:numId="1" w16cid:durableId="71197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AF7C7A"/>
    <w:rsid w:val="00812E89"/>
    <w:rsid w:val="00AF7C7A"/>
    <w:rsid w:val="00B70796"/>
    <w:rsid w:val="00EA3D5D"/>
    <w:rsid w:val="00F10C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B3BC9"/>
  <w15:docId w15:val="{1F5ED6C7-B751-40F9-B2A9-D67E021CA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80"/>
      <w:ind w:left="100"/>
    </w:pPr>
    <w:rPr>
      <w:b/>
      <w:bCs/>
    </w:rPr>
  </w:style>
  <w:style w:type="paragraph" w:styleId="ListParagraph">
    <w:name w:val="List Paragraph"/>
    <w:basedOn w:val="Normal"/>
    <w:uiPriority w:val="1"/>
    <w:qFormat/>
    <w:pPr>
      <w:ind w:left="1026" w:hanging="569"/>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1206</Words>
  <Characters>6876</Characters>
  <Application>Microsoft Office Word</Application>
  <DocSecurity>0</DocSecurity>
  <Lines>57</Lines>
  <Paragraphs>16</Paragraphs>
  <ScaleCrop>false</ScaleCrop>
  <Company/>
  <LinksUpToDate>false</LinksUpToDate>
  <CharactersWithSpaces>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Damon Kenny</dc:creator>
  <cp:lastModifiedBy>Damon Kenny</cp:lastModifiedBy>
  <cp:revision>3</cp:revision>
  <dcterms:created xsi:type="dcterms:W3CDTF">2025-08-19T22:28:00Z</dcterms:created>
  <dcterms:modified xsi:type="dcterms:W3CDTF">2025-08-20T04:33:00Z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2025-05-07T00:00:00Z</vt:filetime>
  </property>
  <property fmtid="{D5CDD505-2E9C-101B-9397-08002B2CF9AE}" pid="3" name="Creator">
    <vt:lpwstr>Microsoft® Word for Microsoft 365</vt:lpwstr>
  </property>
  <property fmtid="{D5CDD505-2E9C-101B-9397-08002B2CF9AE}" pid="4" name="LastSaved">
    <vt:filetime>2025-08-19T00:00:00Z</vt:filetime>
  </property>
  <property fmtid="{D5CDD505-2E9C-101B-9397-08002B2CF9AE}" pid="5" name="Producer">
    <vt:lpwstr>Microsoft® Word for Microsoft 365</vt:lpwstr>
  </property>
</Properties>
</file>